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326EC" w14:textId="4D1A21CA" w:rsidR="004A4916" w:rsidRDefault="004A4916" w:rsidP="004A4916">
      <w:pPr>
        <w:pStyle w:val="Normal"/>
        <w:numPr>
          <w:ilvl w:val="0"/>
          <w:numId w:val="0"/>
        </w:numPr>
        <w:rPr>
          <w:sz w:val="20"/>
          <w:szCs w:val="20"/>
        </w:rPr>
      </w:pPr>
      <w:bookmarkStart w:id="0" w:name="_GoBack"/>
      <w:bookmarkEnd w:id="0"/>
    </w:p>
    <w:p w14:paraId="378922B9" w14:textId="77777777" w:rsidR="004A4916" w:rsidRDefault="004A4916" w:rsidP="004A4916">
      <w:pPr>
        <w:pStyle w:val="Normal"/>
        <w:numPr>
          <w:ilvl w:val="0"/>
          <w:numId w:val="0"/>
        </w:numPr>
        <w:rPr>
          <w:sz w:val="20"/>
          <w:szCs w:val="20"/>
        </w:rPr>
      </w:pPr>
    </w:p>
    <w:p w14:paraId="2305D7C5" w14:textId="77777777" w:rsidR="004A4916" w:rsidRDefault="004A4916" w:rsidP="004A4916">
      <w:pPr>
        <w:pStyle w:val="Normal"/>
        <w:numPr>
          <w:ilvl w:val="0"/>
          <w:numId w:val="0"/>
        </w:numPr>
        <w:rPr>
          <w:sz w:val="20"/>
          <w:szCs w:val="20"/>
        </w:rPr>
      </w:pPr>
    </w:p>
    <w:p w14:paraId="32335BC3" w14:textId="77777777" w:rsidR="004A4916" w:rsidRDefault="004A4916" w:rsidP="004A4916">
      <w:pPr>
        <w:pStyle w:val="Normal"/>
        <w:numPr>
          <w:ilvl w:val="0"/>
          <w:numId w:val="0"/>
        </w:numPr>
        <w:rPr>
          <w:sz w:val="20"/>
          <w:szCs w:val="20"/>
        </w:rPr>
      </w:pPr>
    </w:p>
    <w:p w14:paraId="77540E58" w14:textId="77777777" w:rsidR="004A4916" w:rsidRDefault="004A4916" w:rsidP="004A4916">
      <w:pPr>
        <w:pStyle w:val="Normal"/>
        <w:numPr>
          <w:ilvl w:val="0"/>
          <w:numId w:val="0"/>
        </w:numPr>
        <w:rPr>
          <w:sz w:val="20"/>
          <w:szCs w:val="20"/>
        </w:rPr>
      </w:pPr>
    </w:p>
    <w:p w14:paraId="6EB7433F" w14:textId="77777777" w:rsidR="004A4916" w:rsidRPr="007B6101" w:rsidRDefault="004A4916" w:rsidP="007B6101">
      <w:pPr>
        <w:pStyle w:val="Normal"/>
        <w:numPr>
          <w:ilvl w:val="0"/>
          <w:numId w:val="0"/>
        </w:numPr>
        <w:spacing w:line="240" w:lineRule="auto"/>
        <w:rPr>
          <w:sz w:val="12"/>
          <w:szCs w:val="20"/>
        </w:rPr>
      </w:pPr>
    </w:p>
    <w:p w14:paraId="0368B7EC" w14:textId="45C1EB24" w:rsidR="004C3F83" w:rsidRPr="004A4916" w:rsidRDefault="007C5D6F" w:rsidP="004A4916">
      <w:pPr>
        <w:pStyle w:val="Normal"/>
        <w:numPr>
          <w:ilvl w:val="0"/>
          <w:numId w:val="0"/>
        </w:numPr>
        <w:rPr>
          <w:sz w:val="20"/>
          <w:szCs w:val="20"/>
        </w:rPr>
      </w:pPr>
      <w:r w:rsidRPr="004A4916">
        <w:rPr>
          <w:sz w:val="20"/>
          <w:szCs w:val="20"/>
        </w:rPr>
        <w:t>Communiqué de presse</w:t>
      </w:r>
    </w:p>
    <w:p w14:paraId="06E995F9" w14:textId="2344363B" w:rsidR="009B3A3F" w:rsidRPr="00A14836" w:rsidRDefault="00A561F3" w:rsidP="00432D06">
      <w:pPr>
        <w:pStyle w:val="CP2"/>
        <w:outlineLvl w:val="0"/>
      </w:pPr>
      <w:r w:rsidRPr="00A14836">
        <w:t>Paris</w:t>
      </w:r>
      <w:r w:rsidR="009B3A3F" w:rsidRPr="00A14836">
        <w:t xml:space="preserve">, </w:t>
      </w:r>
      <w:r w:rsidR="007C5D6F" w:rsidRPr="00A14836">
        <w:t>le</w:t>
      </w:r>
      <w:r w:rsidR="00F824ED">
        <w:t xml:space="preserve"> </w:t>
      </w:r>
      <w:r w:rsidR="00DE653B">
        <w:t>14</w:t>
      </w:r>
      <w:r w:rsidR="00F824ED">
        <w:t xml:space="preserve"> </w:t>
      </w:r>
      <w:r w:rsidR="00DE653B">
        <w:t>octobre</w:t>
      </w:r>
      <w:r w:rsidR="00F824ED">
        <w:t xml:space="preserve"> 2015</w:t>
      </w:r>
    </w:p>
    <w:p w14:paraId="3D4664BC" w14:textId="3A61221D" w:rsidR="004A4916" w:rsidRPr="00DE653B" w:rsidRDefault="004A4916" w:rsidP="00F824ED">
      <w:pPr>
        <w:spacing w:line="360" w:lineRule="auto"/>
        <w:jc w:val="center"/>
        <w:outlineLvl w:val="0"/>
        <w:rPr>
          <w:b/>
        </w:rPr>
      </w:pPr>
    </w:p>
    <w:p w14:paraId="786490A3" w14:textId="4AC4A78E" w:rsidR="00DE653B" w:rsidRPr="001E2D78" w:rsidRDefault="00300973" w:rsidP="00DE653B">
      <w:pPr>
        <w:tabs>
          <w:tab w:val="clear" w:pos="9266"/>
          <w:tab w:val="left" w:pos="9356"/>
        </w:tabs>
        <w:spacing w:line="360" w:lineRule="auto"/>
        <w:jc w:val="center"/>
        <w:outlineLvl w:val="0"/>
        <w:rPr>
          <w:b/>
          <w:sz w:val="32"/>
        </w:rPr>
      </w:pPr>
      <w:r w:rsidRPr="001E2D78">
        <w:rPr>
          <w:b/>
          <w:sz w:val="32"/>
        </w:rPr>
        <w:t>Bonne progression du C</w:t>
      </w:r>
      <w:r w:rsidR="00DE653B" w:rsidRPr="001E2D78">
        <w:rPr>
          <w:b/>
          <w:sz w:val="32"/>
        </w:rPr>
        <w:t xml:space="preserve">hiffre d’affaires </w:t>
      </w:r>
    </w:p>
    <w:p w14:paraId="053DCB98" w14:textId="02B07C97" w:rsidR="00DE653B" w:rsidRPr="001E2D78" w:rsidRDefault="00DE653B" w:rsidP="00DE653B">
      <w:pPr>
        <w:tabs>
          <w:tab w:val="clear" w:pos="9266"/>
          <w:tab w:val="left" w:pos="9356"/>
        </w:tabs>
        <w:spacing w:line="360" w:lineRule="auto"/>
        <w:jc w:val="center"/>
        <w:outlineLvl w:val="0"/>
        <w:rPr>
          <w:b/>
          <w:sz w:val="32"/>
        </w:rPr>
      </w:pPr>
      <w:r w:rsidRPr="001E2D78">
        <w:rPr>
          <w:b/>
          <w:sz w:val="32"/>
        </w:rPr>
        <w:t xml:space="preserve">au troisième trimestre 2015 : </w:t>
      </w:r>
      <w:r w:rsidR="00300973" w:rsidRPr="001E2D78">
        <w:rPr>
          <w:b/>
          <w:sz w:val="32"/>
        </w:rPr>
        <w:br/>
        <w:t>+</w:t>
      </w:r>
      <w:r w:rsidR="00B27054" w:rsidRPr="001E2D78">
        <w:rPr>
          <w:b/>
          <w:sz w:val="32"/>
        </w:rPr>
        <w:t>3</w:t>
      </w:r>
      <w:r w:rsidRPr="001E2D78">
        <w:rPr>
          <w:b/>
          <w:sz w:val="32"/>
        </w:rPr>
        <w:t>,</w:t>
      </w:r>
      <w:r w:rsidR="00B27054" w:rsidRPr="001E2D78">
        <w:rPr>
          <w:b/>
          <w:sz w:val="32"/>
        </w:rPr>
        <w:t>4</w:t>
      </w:r>
      <w:r w:rsidRPr="001E2D78">
        <w:rPr>
          <w:b/>
          <w:sz w:val="32"/>
        </w:rPr>
        <w:t>% à données comparables</w:t>
      </w:r>
    </w:p>
    <w:p w14:paraId="6DF1832B" w14:textId="77777777" w:rsidR="00DE653B" w:rsidRPr="001E2D78" w:rsidRDefault="00DE653B" w:rsidP="00DE653B">
      <w:pPr>
        <w:spacing w:line="240" w:lineRule="auto"/>
        <w:jc w:val="center"/>
        <w:outlineLvl w:val="0"/>
        <w:rPr>
          <w:rFonts w:cs="Arial"/>
          <w:b/>
          <w:noProof/>
          <w:color w:val="0F2F7E"/>
          <w:kern w:val="28"/>
          <w:sz w:val="12"/>
          <w:szCs w:val="10"/>
        </w:rPr>
      </w:pPr>
    </w:p>
    <w:p w14:paraId="6541F7F6" w14:textId="77777777" w:rsidR="00DE653B" w:rsidRPr="001E2D78" w:rsidRDefault="00DE653B" w:rsidP="00DE653B">
      <w:pPr>
        <w:spacing w:line="360" w:lineRule="auto"/>
        <w:jc w:val="center"/>
        <w:outlineLvl w:val="0"/>
        <w:rPr>
          <w:b/>
          <w:sz w:val="20"/>
        </w:rPr>
      </w:pPr>
      <w:r w:rsidRPr="001E2D78">
        <w:rPr>
          <w:b/>
          <w:sz w:val="20"/>
        </w:rPr>
        <w:t>*  *  *</w:t>
      </w:r>
    </w:p>
    <w:p w14:paraId="7566BEDE" w14:textId="51743E3D" w:rsidR="00AF7E98" w:rsidRDefault="00DE653B" w:rsidP="00DE653B">
      <w:pPr>
        <w:spacing w:line="360" w:lineRule="auto"/>
        <w:jc w:val="center"/>
        <w:outlineLvl w:val="0"/>
        <w:rPr>
          <w:b/>
          <w:sz w:val="32"/>
        </w:rPr>
      </w:pPr>
      <w:r w:rsidRPr="001E2D78">
        <w:rPr>
          <w:b/>
          <w:sz w:val="32"/>
        </w:rPr>
        <w:t>Objectif de résultat d’exploitation</w:t>
      </w:r>
      <w:r w:rsidR="00AF7E98">
        <w:rPr>
          <w:b/>
          <w:sz w:val="32"/>
        </w:rPr>
        <w:t xml:space="preserve"> 2015 </w:t>
      </w:r>
    </w:p>
    <w:p w14:paraId="5FBB3024" w14:textId="01B5453C" w:rsidR="00DE653B" w:rsidRPr="001E2D78" w:rsidRDefault="00300973" w:rsidP="00DE653B">
      <w:pPr>
        <w:spacing w:line="360" w:lineRule="auto"/>
        <w:jc w:val="center"/>
        <w:outlineLvl w:val="0"/>
        <w:rPr>
          <w:b/>
          <w:sz w:val="32"/>
        </w:rPr>
      </w:pPr>
      <w:r w:rsidRPr="001E2D78">
        <w:rPr>
          <w:b/>
          <w:sz w:val="32"/>
        </w:rPr>
        <w:t xml:space="preserve"> </w:t>
      </w:r>
      <w:r w:rsidR="00DE653B" w:rsidRPr="001E2D78">
        <w:rPr>
          <w:b/>
          <w:sz w:val="32"/>
        </w:rPr>
        <w:t xml:space="preserve">entre </w:t>
      </w:r>
      <w:r w:rsidRPr="001E2D78">
        <w:rPr>
          <w:b/>
          <w:sz w:val="32"/>
        </w:rPr>
        <w:t>655</w:t>
      </w:r>
      <w:r w:rsidR="00DE653B" w:rsidRPr="001E2D78">
        <w:rPr>
          <w:b/>
          <w:sz w:val="32"/>
        </w:rPr>
        <w:t xml:space="preserve"> M€ et </w:t>
      </w:r>
      <w:r w:rsidRPr="001E2D78">
        <w:rPr>
          <w:b/>
          <w:sz w:val="32"/>
        </w:rPr>
        <w:t>675</w:t>
      </w:r>
      <w:r w:rsidR="00DE653B" w:rsidRPr="001E2D78">
        <w:rPr>
          <w:b/>
          <w:sz w:val="32"/>
        </w:rPr>
        <w:t xml:space="preserve"> M€</w:t>
      </w:r>
    </w:p>
    <w:p w14:paraId="2DD23E71" w14:textId="77777777" w:rsidR="001E2D78" w:rsidRDefault="001E2D78" w:rsidP="00DE653B">
      <w:pPr>
        <w:pStyle w:val="Texteavecpuces"/>
        <w:numPr>
          <w:ilvl w:val="0"/>
          <w:numId w:val="0"/>
        </w:numPr>
        <w:tabs>
          <w:tab w:val="left" w:pos="9356"/>
        </w:tabs>
        <w:spacing w:before="20" w:after="20" w:line="288" w:lineRule="auto"/>
        <w:ind w:left="993" w:right="1267"/>
        <w:jc w:val="both"/>
        <w:rPr>
          <w:rFonts w:asciiTheme="minorHAnsi" w:eastAsiaTheme="minorEastAsia" w:hAnsiTheme="minorHAnsi" w:cs="Arial"/>
          <w:b/>
          <w:color w:val="002B41" w:themeColor="accent1"/>
          <w:sz w:val="22"/>
          <w:szCs w:val="22"/>
        </w:rPr>
      </w:pPr>
    </w:p>
    <w:p w14:paraId="42D6F7DD" w14:textId="78DC3FD1" w:rsidR="00300973" w:rsidRDefault="00DE653B" w:rsidP="009D7124">
      <w:pPr>
        <w:pStyle w:val="Texteavecpuces"/>
        <w:numPr>
          <w:ilvl w:val="0"/>
          <w:numId w:val="0"/>
        </w:numPr>
        <w:tabs>
          <w:tab w:val="left" w:pos="9356"/>
        </w:tabs>
        <w:spacing w:before="20" w:after="20" w:line="288" w:lineRule="auto"/>
        <w:ind w:left="993" w:right="1126"/>
        <w:jc w:val="both"/>
        <w:rPr>
          <w:rFonts w:asciiTheme="minorHAnsi" w:eastAsiaTheme="minorEastAsia" w:hAnsiTheme="minorHAnsi" w:cs="Arial"/>
          <w:color w:val="002B41" w:themeColor="accent1"/>
          <w:sz w:val="22"/>
          <w:szCs w:val="22"/>
        </w:rPr>
      </w:pPr>
      <w:r w:rsidRPr="00DE653B">
        <w:rPr>
          <w:rFonts w:asciiTheme="minorHAnsi" w:eastAsiaTheme="minorEastAsia" w:hAnsiTheme="minorHAnsi" w:cs="Arial"/>
          <w:b/>
          <w:color w:val="002B41" w:themeColor="accent1"/>
          <w:sz w:val="22"/>
          <w:szCs w:val="22"/>
        </w:rPr>
        <w:t>L’activité au 3</w:t>
      </w:r>
      <w:r w:rsidRPr="00A22DFD">
        <w:rPr>
          <w:rFonts w:asciiTheme="minorHAnsi" w:eastAsiaTheme="minorEastAsia" w:hAnsiTheme="minorHAnsi" w:cs="Arial"/>
          <w:b/>
          <w:color w:val="002B41" w:themeColor="accent1"/>
          <w:sz w:val="22"/>
          <w:szCs w:val="22"/>
          <w:vertAlign w:val="superscript"/>
        </w:rPr>
        <w:t>ème</w:t>
      </w:r>
      <w:r w:rsidR="00A22DFD">
        <w:rPr>
          <w:rFonts w:asciiTheme="minorHAnsi" w:eastAsiaTheme="minorEastAsia" w:hAnsiTheme="minorHAnsi" w:cs="Arial"/>
          <w:b/>
          <w:color w:val="002B41" w:themeColor="accent1"/>
          <w:sz w:val="22"/>
          <w:szCs w:val="22"/>
        </w:rPr>
        <w:t xml:space="preserve"> </w:t>
      </w:r>
      <w:r w:rsidRPr="00DE653B">
        <w:rPr>
          <w:rFonts w:asciiTheme="minorHAnsi" w:eastAsiaTheme="minorEastAsia" w:hAnsiTheme="minorHAnsi" w:cs="Arial"/>
          <w:b/>
          <w:color w:val="002B41" w:themeColor="accent1"/>
          <w:sz w:val="22"/>
          <w:szCs w:val="22"/>
        </w:rPr>
        <w:t>trimestre 2015 est soutenue sur la majorité des marchés du Groupe</w:t>
      </w:r>
      <w:r w:rsidRPr="00DE653B">
        <w:rPr>
          <w:rFonts w:asciiTheme="minorHAnsi" w:eastAsiaTheme="minorEastAsia" w:hAnsiTheme="minorHAnsi" w:cs="Arial"/>
          <w:color w:val="002B41" w:themeColor="accent1"/>
          <w:sz w:val="22"/>
          <w:szCs w:val="22"/>
        </w:rPr>
        <w:t xml:space="preserve"> avec un chiffre d’affaires de 1 493 millions d’euros, </w:t>
      </w:r>
      <w:r w:rsidR="00300973">
        <w:rPr>
          <w:rFonts w:asciiTheme="minorHAnsi" w:eastAsiaTheme="minorEastAsia" w:hAnsiTheme="minorHAnsi" w:cs="Arial"/>
          <w:color w:val="002B41" w:themeColor="accent1"/>
          <w:sz w:val="22"/>
          <w:szCs w:val="22"/>
        </w:rPr>
        <w:t>en progression</w:t>
      </w:r>
      <w:r w:rsidRPr="00DE653B">
        <w:rPr>
          <w:rFonts w:asciiTheme="minorHAnsi" w:eastAsiaTheme="minorEastAsia" w:hAnsiTheme="minorHAnsi" w:cs="Arial"/>
          <w:color w:val="002B41" w:themeColor="accent1"/>
          <w:sz w:val="22"/>
          <w:szCs w:val="22"/>
        </w:rPr>
        <w:t xml:space="preserve"> de </w:t>
      </w:r>
      <w:r w:rsidR="00B27054">
        <w:rPr>
          <w:rFonts w:asciiTheme="minorHAnsi" w:eastAsiaTheme="minorEastAsia" w:hAnsiTheme="minorHAnsi" w:cs="Arial"/>
          <w:b/>
          <w:color w:val="002B41" w:themeColor="accent1"/>
          <w:sz w:val="22"/>
          <w:szCs w:val="22"/>
        </w:rPr>
        <w:t>+3</w:t>
      </w:r>
      <w:r w:rsidRPr="00DE653B">
        <w:rPr>
          <w:rFonts w:asciiTheme="minorHAnsi" w:eastAsiaTheme="minorEastAsia" w:hAnsiTheme="minorHAnsi" w:cs="Arial"/>
          <w:b/>
          <w:color w:val="002B41" w:themeColor="accent1"/>
          <w:sz w:val="22"/>
          <w:szCs w:val="22"/>
        </w:rPr>
        <w:t>,</w:t>
      </w:r>
      <w:r w:rsidR="00B27054">
        <w:rPr>
          <w:rFonts w:asciiTheme="minorHAnsi" w:eastAsiaTheme="minorEastAsia" w:hAnsiTheme="minorHAnsi" w:cs="Arial"/>
          <w:b/>
          <w:color w:val="002B41" w:themeColor="accent1"/>
          <w:sz w:val="22"/>
          <w:szCs w:val="22"/>
        </w:rPr>
        <w:t>4</w:t>
      </w:r>
      <w:r w:rsidRPr="00DE653B">
        <w:rPr>
          <w:rFonts w:asciiTheme="minorHAnsi" w:eastAsiaTheme="minorEastAsia" w:hAnsiTheme="minorHAnsi" w:cs="Arial"/>
          <w:b/>
          <w:color w:val="002B41" w:themeColor="accent1"/>
          <w:sz w:val="22"/>
          <w:szCs w:val="22"/>
        </w:rPr>
        <w:t>%</w:t>
      </w:r>
      <w:r w:rsidRPr="00DE653B">
        <w:rPr>
          <w:rFonts w:asciiTheme="minorHAnsi" w:eastAsiaTheme="minorEastAsia" w:hAnsiTheme="minorHAnsi" w:cs="Arial"/>
          <w:color w:val="002B41" w:themeColor="accent1"/>
          <w:sz w:val="22"/>
          <w:szCs w:val="22"/>
        </w:rPr>
        <w:t xml:space="preserve"> à périmètre et change constants (pcc), et de </w:t>
      </w:r>
      <w:r w:rsidRPr="00B27054">
        <w:rPr>
          <w:rFonts w:asciiTheme="minorHAnsi" w:eastAsiaTheme="minorEastAsia" w:hAnsiTheme="minorHAnsi" w:cs="Arial"/>
          <w:b/>
          <w:color w:val="002B41" w:themeColor="accent1"/>
          <w:sz w:val="22"/>
          <w:szCs w:val="22"/>
        </w:rPr>
        <w:t>+</w:t>
      </w:r>
      <w:r w:rsidR="00B27054" w:rsidRPr="00B27054">
        <w:rPr>
          <w:rFonts w:asciiTheme="minorHAnsi" w:eastAsiaTheme="minorEastAsia" w:hAnsiTheme="minorHAnsi" w:cs="Arial"/>
          <w:b/>
          <w:color w:val="002B41" w:themeColor="accent1"/>
          <w:sz w:val="22"/>
          <w:szCs w:val="22"/>
        </w:rPr>
        <w:t>2</w:t>
      </w:r>
      <w:r w:rsidRPr="00B27054">
        <w:rPr>
          <w:rFonts w:asciiTheme="minorHAnsi" w:eastAsiaTheme="minorEastAsia" w:hAnsiTheme="minorHAnsi" w:cs="Arial"/>
          <w:b/>
          <w:color w:val="002B41" w:themeColor="accent1"/>
          <w:sz w:val="22"/>
          <w:szCs w:val="22"/>
        </w:rPr>
        <w:t>,</w:t>
      </w:r>
      <w:r w:rsidRPr="00DE653B">
        <w:rPr>
          <w:rFonts w:asciiTheme="minorHAnsi" w:eastAsiaTheme="minorEastAsia" w:hAnsiTheme="minorHAnsi" w:cs="Arial"/>
          <w:b/>
          <w:color w:val="002B41" w:themeColor="accent1"/>
          <w:sz w:val="22"/>
          <w:szCs w:val="22"/>
        </w:rPr>
        <w:t>4%</w:t>
      </w:r>
      <w:r w:rsidRPr="00DE653B">
        <w:rPr>
          <w:rFonts w:asciiTheme="minorHAnsi" w:eastAsiaTheme="minorEastAsia" w:hAnsiTheme="minorHAnsi" w:cs="Arial"/>
          <w:color w:val="002B41" w:themeColor="accent1"/>
          <w:sz w:val="22"/>
          <w:szCs w:val="22"/>
        </w:rPr>
        <w:t xml:space="preserve"> </w:t>
      </w:r>
      <w:r w:rsidR="00E7333B">
        <w:rPr>
          <w:rFonts w:asciiTheme="minorHAnsi" w:eastAsiaTheme="minorEastAsia" w:hAnsiTheme="minorHAnsi" w:cs="Arial"/>
          <w:color w:val="002B41" w:themeColor="accent1"/>
          <w:sz w:val="22"/>
          <w:szCs w:val="22"/>
        </w:rPr>
        <w:t>en</w:t>
      </w:r>
      <w:r w:rsidRPr="00DE653B">
        <w:rPr>
          <w:rFonts w:asciiTheme="minorHAnsi" w:eastAsiaTheme="minorEastAsia" w:hAnsiTheme="minorHAnsi" w:cs="Arial"/>
          <w:color w:val="002B41" w:themeColor="accent1"/>
          <w:sz w:val="22"/>
          <w:szCs w:val="22"/>
        </w:rPr>
        <w:t xml:space="preserve"> publié.</w:t>
      </w:r>
    </w:p>
    <w:p w14:paraId="0AE1331A" w14:textId="77777777" w:rsidR="00DE653B" w:rsidRPr="00DE653B" w:rsidRDefault="00DE653B" w:rsidP="00DE653B">
      <w:pPr>
        <w:pStyle w:val="Texteavecpuces"/>
        <w:numPr>
          <w:ilvl w:val="0"/>
          <w:numId w:val="0"/>
        </w:numPr>
        <w:tabs>
          <w:tab w:val="left" w:pos="9356"/>
        </w:tabs>
        <w:spacing w:before="20" w:after="20" w:line="288" w:lineRule="auto"/>
        <w:ind w:left="993" w:right="1267"/>
        <w:jc w:val="both"/>
        <w:rPr>
          <w:rFonts w:asciiTheme="minorHAnsi" w:eastAsiaTheme="minorEastAsia" w:hAnsiTheme="minorHAnsi" w:cs="Arial"/>
          <w:color w:val="002B41" w:themeColor="accent1"/>
          <w:sz w:val="4"/>
          <w:szCs w:val="22"/>
        </w:rPr>
      </w:pPr>
    </w:p>
    <w:p w14:paraId="1481AD9A" w14:textId="59E049EB" w:rsidR="00F824ED" w:rsidRPr="00CD4CF5" w:rsidRDefault="00A561F3" w:rsidP="00086C73">
      <w:pPr>
        <w:spacing w:line="360" w:lineRule="auto"/>
        <w:jc w:val="center"/>
        <w:outlineLvl w:val="0"/>
        <w:rPr>
          <w:rFonts w:cs="Arial"/>
          <w:b/>
          <w:noProof/>
          <w:color w:val="002A41"/>
          <w:kern w:val="28"/>
          <w:sz w:val="8"/>
          <w:szCs w:val="24"/>
        </w:rPr>
      </w:pPr>
      <w:r w:rsidRPr="00CD4CF5">
        <w:rPr>
          <w:rFonts w:cs="Arial"/>
          <w:b/>
          <w:noProof/>
          <w:color w:val="002A41"/>
          <w:kern w:val="28"/>
          <w:sz w:val="8"/>
          <w:szCs w:val="24"/>
        </w:rPr>
        <mc:AlternateContent>
          <mc:Choice Requires="wps">
            <w:drawing>
              <wp:anchor distT="0" distB="0" distL="114300" distR="114300" simplePos="0" relativeHeight="251659264" behindDoc="0" locked="0" layoutInCell="1" allowOverlap="1" wp14:anchorId="5F832309" wp14:editId="7D0B310D">
                <wp:simplePos x="0" y="0"/>
                <wp:positionH relativeFrom="column">
                  <wp:posOffset>542925</wp:posOffset>
                </wp:positionH>
                <wp:positionV relativeFrom="paragraph">
                  <wp:posOffset>40640</wp:posOffset>
                </wp:positionV>
                <wp:extent cx="5259168" cy="0"/>
                <wp:effectExtent l="0" t="0" r="24130" b="25400"/>
                <wp:wrapNone/>
                <wp:docPr id="16" name="Connecteur droit 16"/>
                <wp:cNvGraphicFramePr/>
                <a:graphic xmlns:a="http://schemas.openxmlformats.org/drawingml/2006/main">
                  <a:graphicData uri="http://schemas.microsoft.com/office/word/2010/wordprocessingShape">
                    <wps:wsp>
                      <wps:cNvCnPr/>
                      <wps:spPr>
                        <a:xfrm>
                          <a:off x="0" y="0"/>
                          <a:ext cx="5259168" cy="0"/>
                        </a:xfrm>
                        <a:prstGeom prst="line">
                          <a:avLst/>
                        </a:prstGeom>
                        <a:ln w="12700">
                          <a:solidFill>
                            <a:schemeClr val="accent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24ED554" id="Connecteur droit 1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75pt,3.2pt" to="456.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" strokecolor="#002b41 [3204]" strokeweight="1pt"/>
            </w:pict>
          </mc:Fallback>
        </mc:AlternateContent>
      </w:r>
    </w:p>
    <w:p w14:paraId="26838870" w14:textId="77777777" w:rsidR="006A62D0" w:rsidRPr="00DE653B" w:rsidRDefault="006A62D0" w:rsidP="006A62D0">
      <w:pPr>
        <w:pStyle w:val="Normal"/>
        <w:numPr>
          <w:ilvl w:val="0"/>
          <w:numId w:val="0"/>
        </w:numPr>
        <w:spacing w:line="240" w:lineRule="auto"/>
        <w:rPr>
          <w:sz w:val="8"/>
        </w:rPr>
      </w:pPr>
    </w:p>
    <w:p w14:paraId="15573192" w14:textId="1B1F1269" w:rsidR="00F824ED" w:rsidRPr="00DE653B" w:rsidRDefault="00F824ED" w:rsidP="006A62D0">
      <w:pPr>
        <w:pStyle w:val="Chapo"/>
      </w:pPr>
      <w:r w:rsidRPr="00DE653B">
        <w:t>Sébastien Bazin, P</w:t>
      </w:r>
      <w:r w:rsidR="007818AC">
        <w:t xml:space="preserve">résident-directeur général </w:t>
      </w:r>
      <w:r w:rsidRPr="00DE653B">
        <w:t>de AccorHotels, a déclaré :</w:t>
      </w:r>
    </w:p>
    <w:p w14:paraId="4D156CFA" w14:textId="77777777" w:rsidR="00F824ED" w:rsidRPr="00DE653B" w:rsidRDefault="00F824ED" w:rsidP="00F824ED">
      <w:pPr>
        <w:spacing w:line="240" w:lineRule="auto"/>
        <w:jc w:val="both"/>
        <w:rPr>
          <w:sz w:val="12"/>
          <w:szCs w:val="10"/>
          <w:highlight w:val="yellow"/>
        </w:rPr>
      </w:pPr>
    </w:p>
    <w:p w14:paraId="2C770D84" w14:textId="3C10FF75" w:rsidR="00215C7F" w:rsidRPr="00215C7F" w:rsidRDefault="00300973" w:rsidP="00E7333B">
      <w:pPr>
        <w:ind w:right="1126"/>
        <w:jc w:val="both"/>
        <w:rPr>
          <w:i/>
        </w:rPr>
      </w:pPr>
      <w:r>
        <w:rPr>
          <w:i/>
        </w:rPr>
        <w:t xml:space="preserve">Les performances du troisième trimestre s’inscrivent dans la lignée des tendances observées depuis le début de l’année, avec une activité solide dans la majorité des marchés du Groupe, une demande atone en France, et une dégradation rapide au Brésil </w:t>
      </w:r>
      <w:r w:rsidR="00F91BA5">
        <w:rPr>
          <w:i/>
        </w:rPr>
        <w:t xml:space="preserve">liée à </w:t>
      </w:r>
      <w:r>
        <w:rPr>
          <w:i/>
        </w:rPr>
        <w:t xml:space="preserve">un contexte économique difficile. AccorHotels poursuit le déploiement de sa stratégie, avec les succès initiaux du plan digital et un développement rapide pour HotelServices, ainsi que la transformation d’HotelInvest. Dans ce contexte, le Groupe affine sa prévision </w:t>
      </w:r>
      <w:r w:rsidR="001E2D78">
        <w:rPr>
          <w:i/>
        </w:rPr>
        <w:t>d’EBIT</w:t>
      </w:r>
      <w:r>
        <w:rPr>
          <w:i/>
        </w:rPr>
        <w:t xml:space="preserve"> </w:t>
      </w:r>
      <w:r w:rsidR="001E2D78">
        <w:rPr>
          <w:i/>
        </w:rPr>
        <w:t xml:space="preserve">2015 </w:t>
      </w:r>
      <w:r>
        <w:rPr>
          <w:i/>
        </w:rPr>
        <w:t>dans une fourchette comprise entre 655M€ et 675M€.</w:t>
      </w:r>
    </w:p>
    <w:p w14:paraId="098EF1CC" w14:textId="77777777" w:rsidR="007B6101" w:rsidRPr="00E7333B" w:rsidRDefault="007B6101" w:rsidP="00DE653B">
      <w:pPr>
        <w:pStyle w:val="Normal"/>
        <w:numPr>
          <w:ilvl w:val="0"/>
          <w:numId w:val="0"/>
        </w:numPr>
        <w:spacing w:line="240" w:lineRule="auto"/>
        <w:rPr>
          <w:sz w:val="12"/>
        </w:rPr>
      </w:pPr>
    </w:p>
    <w:p w14:paraId="69EB6E5F" w14:textId="77777777" w:rsidR="00DE653B" w:rsidRPr="00E7333B" w:rsidRDefault="007B6101" w:rsidP="00DE653B">
      <w:pPr>
        <w:pStyle w:val="Chapo"/>
        <w:spacing w:line="240" w:lineRule="auto"/>
        <w:ind w:left="0"/>
        <w:rPr>
          <w:sz w:val="20"/>
        </w:rPr>
      </w:pPr>
      <w:r w:rsidRPr="00E7333B">
        <w:rPr>
          <w:noProof/>
          <w:sz w:val="20"/>
        </w:rPr>
        <mc:AlternateContent>
          <mc:Choice Requires="wps">
            <w:drawing>
              <wp:anchor distT="0" distB="0" distL="114300" distR="114300" simplePos="0" relativeHeight="251681792" behindDoc="0" locked="0" layoutInCell="1" allowOverlap="1" wp14:anchorId="6D2BC498" wp14:editId="4321FA5F">
                <wp:simplePos x="0" y="0"/>
                <wp:positionH relativeFrom="column">
                  <wp:posOffset>542925</wp:posOffset>
                </wp:positionH>
                <wp:positionV relativeFrom="paragraph">
                  <wp:posOffset>40640</wp:posOffset>
                </wp:positionV>
                <wp:extent cx="5259168" cy="0"/>
                <wp:effectExtent l="0" t="0" r="24130" b="25400"/>
                <wp:wrapNone/>
                <wp:docPr id="9" name="Connecteur droit 9"/>
                <wp:cNvGraphicFramePr/>
                <a:graphic xmlns:a="http://schemas.openxmlformats.org/drawingml/2006/main">
                  <a:graphicData uri="http://schemas.microsoft.com/office/word/2010/wordprocessingShape">
                    <wps:wsp>
                      <wps:cNvCnPr/>
                      <wps:spPr>
                        <a:xfrm>
                          <a:off x="0" y="0"/>
                          <a:ext cx="5259168" cy="0"/>
                        </a:xfrm>
                        <a:prstGeom prst="line">
                          <a:avLst/>
                        </a:prstGeom>
                        <a:ln w="12700">
                          <a:solidFill>
                            <a:schemeClr val="accent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EC21E66" id="Connecteur droit 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75pt,3.2pt" to="456.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" strokecolor="#002b41 [3204]" strokeweight="1pt"/>
            </w:pict>
          </mc:Fallback>
        </mc:AlternateContent>
      </w:r>
    </w:p>
    <w:p w14:paraId="276E563A" w14:textId="004D2533" w:rsidR="00F824ED" w:rsidRPr="00AB49DD" w:rsidRDefault="00F824ED" w:rsidP="009D7124">
      <w:pPr>
        <w:pStyle w:val="Chapo"/>
        <w:tabs>
          <w:tab w:val="clear" w:pos="9266"/>
          <w:tab w:val="left" w:pos="9072"/>
        </w:tabs>
        <w:ind w:right="1126"/>
        <w:rPr>
          <w:rFonts w:cs="Arial"/>
          <w:b w:val="0"/>
        </w:rPr>
      </w:pPr>
      <w:r w:rsidRPr="00AB49DD">
        <w:rPr>
          <w:rFonts w:cs="Arial"/>
        </w:rPr>
        <w:t xml:space="preserve">Faits marquants du </w:t>
      </w:r>
      <w:r w:rsidR="00F25E76">
        <w:rPr>
          <w:rFonts w:cs="Arial"/>
        </w:rPr>
        <w:t>3</w:t>
      </w:r>
      <w:r w:rsidR="00F25E76" w:rsidRPr="00F25E76">
        <w:rPr>
          <w:rFonts w:cs="Arial"/>
          <w:vertAlign w:val="superscript"/>
        </w:rPr>
        <w:t>ème</w:t>
      </w:r>
      <w:r w:rsidR="00F25E76">
        <w:rPr>
          <w:rFonts w:cs="Arial"/>
        </w:rPr>
        <w:t xml:space="preserve"> tri</w:t>
      </w:r>
      <w:r w:rsidRPr="00AB49DD">
        <w:rPr>
          <w:rFonts w:cs="Arial"/>
        </w:rPr>
        <w:t>mestre 2015 :</w:t>
      </w:r>
    </w:p>
    <w:p w14:paraId="4EEEB893" w14:textId="77777777" w:rsidR="00F824ED" w:rsidRPr="00A6133F" w:rsidRDefault="00F824ED" w:rsidP="009D7124">
      <w:pPr>
        <w:pStyle w:val="Texteavecpuces"/>
        <w:numPr>
          <w:ilvl w:val="0"/>
          <w:numId w:val="0"/>
        </w:numPr>
        <w:tabs>
          <w:tab w:val="left" w:pos="9072"/>
        </w:tabs>
        <w:spacing w:before="20" w:after="20" w:line="288" w:lineRule="auto"/>
        <w:ind w:right="1126"/>
        <w:jc w:val="both"/>
        <w:rPr>
          <w:rFonts w:cs="Arial"/>
          <w:b/>
          <w:noProof/>
          <w:kern w:val="28"/>
          <w:sz w:val="2"/>
          <w:szCs w:val="6"/>
          <w:highlight w:val="yellow"/>
        </w:rPr>
      </w:pPr>
    </w:p>
    <w:p w14:paraId="218D6B45" w14:textId="77777777" w:rsidR="00EA1465" w:rsidRDefault="00EA1465" w:rsidP="009D7124">
      <w:pPr>
        <w:pStyle w:val="Paragraphedeliste"/>
        <w:numPr>
          <w:ilvl w:val="0"/>
          <w:numId w:val="28"/>
        </w:numPr>
        <w:tabs>
          <w:tab w:val="clear" w:pos="9266"/>
          <w:tab w:val="left" w:pos="9072"/>
        </w:tabs>
        <w:spacing w:before="120" w:line="240" w:lineRule="auto"/>
        <w:ind w:left="1418" w:right="1126"/>
        <w:jc w:val="both"/>
        <w:rPr>
          <w:rFonts w:cs="Arial"/>
        </w:rPr>
      </w:pPr>
      <w:r>
        <w:rPr>
          <w:rFonts w:cs="Arial"/>
        </w:rPr>
        <w:t>Croissance soutenue dans la grande majorité des marchés européens</w:t>
      </w:r>
    </w:p>
    <w:p w14:paraId="7F51DC36" w14:textId="0F478694" w:rsidR="00EA1465" w:rsidRDefault="00EA1465" w:rsidP="009D7124">
      <w:pPr>
        <w:pStyle w:val="Paragraphedeliste"/>
        <w:numPr>
          <w:ilvl w:val="0"/>
          <w:numId w:val="28"/>
        </w:numPr>
        <w:tabs>
          <w:tab w:val="clear" w:pos="9266"/>
          <w:tab w:val="left" w:pos="9072"/>
        </w:tabs>
        <w:spacing w:before="120" w:line="240" w:lineRule="auto"/>
        <w:ind w:left="1418" w:right="1126"/>
        <w:jc w:val="both"/>
        <w:rPr>
          <w:rFonts w:cs="Arial"/>
        </w:rPr>
      </w:pPr>
      <w:r w:rsidRPr="00EA1465">
        <w:rPr>
          <w:rFonts w:cs="Arial"/>
        </w:rPr>
        <w:t xml:space="preserve">Performances </w:t>
      </w:r>
      <w:r>
        <w:rPr>
          <w:rFonts w:cs="Arial"/>
        </w:rPr>
        <w:t xml:space="preserve">très </w:t>
      </w:r>
      <w:r w:rsidRPr="00EA1465">
        <w:rPr>
          <w:rFonts w:cs="Arial"/>
        </w:rPr>
        <w:t xml:space="preserve">solides </w:t>
      </w:r>
      <w:r>
        <w:rPr>
          <w:rFonts w:cs="Arial"/>
        </w:rPr>
        <w:t>en Afrique Moyen-Orient et en Asie-Pacifique</w:t>
      </w:r>
      <w:r w:rsidR="00E7333B">
        <w:rPr>
          <w:rFonts w:cs="Arial"/>
        </w:rPr>
        <w:t xml:space="preserve"> hors Chine</w:t>
      </w:r>
    </w:p>
    <w:p w14:paraId="248524A7" w14:textId="15EB45E5" w:rsidR="00F824ED" w:rsidRDefault="00EA1465" w:rsidP="009D7124">
      <w:pPr>
        <w:pStyle w:val="Paragraphedeliste"/>
        <w:numPr>
          <w:ilvl w:val="0"/>
          <w:numId w:val="28"/>
        </w:numPr>
        <w:tabs>
          <w:tab w:val="clear" w:pos="9266"/>
          <w:tab w:val="left" w:pos="9072"/>
        </w:tabs>
        <w:spacing w:before="120" w:line="240" w:lineRule="auto"/>
        <w:ind w:left="1418" w:right="1126"/>
        <w:jc w:val="both"/>
        <w:rPr>
          <w:rFonts w:cs="Arial"/>
        </w:rPr>
      </w:pPr>
      <w:r>
        <w:rPr>
          <w:rFonts w:cs="Arial"/>
        </w:rPr>
        <w:t>Demande atone et performance stable en France</w:t>
      </w:r>
    </w:p>
    <w:p w14:paraId="0A75ED87" w14:textId="7DE520C1" w:rsidR="00EA1465" w:rsidRPr="00EA1465" w:rsidRDefault="00EA1465" w:rsidP="009D7124">
      <w:pPr>
        <w:pStyle w:val="Paragraphedeliste"/>
        <w:numPr>
          <w:ilvl w:val="0"/>
          <w:numId w:val="28"/>
        </w:numPr>
        <w:tabs>
          <w:tab w:val="clear" w:pos="9266"/>
          <w:tab w:val="left" w:pos="9072"/>
        </w:tabs>
        <w:spacing w:before="120" w:line="240" w:lineRule="auto"/>
        <w:ind w:left="1418" w:right="1126"/>
        <w:jc w:val="both"/>
        <w:rPr>
          <w:rFonts w:cs="Arial"/>
        </w:rPr>
      </w:pPr>
      <w:r>
        <w:rPr>
          <w:rFonts w:cs="Arial"/>
        </w:rPr>
        <w:t xml:space="preserve">Dégradation rapide de la situation au Brésil, aggravée par la dévaluation du </w:t>
      </w:r>
      <w:r w:rsidRPr="00EA1465">
        <w:rPr>
          <w:rFonts w:cs="Arial"/>
        </w:rPr>
        <w:t>Real brésilien</w:t>
      </w:r>
    </w:p>
    <w:p w14:paraId="22DBE3F3" w14:textId="11FC06F5" w:rsidR="00F824ED" w:rsidRPr="00EA1465" w:rsidRDefault="00F824ED" w:rsidP="009D7124">
      <w:pPr>
        <w:pStyle w:val="Paragraphedeliste"/>
        <w:numPr>
          <w:ilvl w:val="0"/>
          <w:numId w:val="28"/>
        </w:numPr>
        <w:tabs>
          <w:tab w:val="clear" w:pos="9266"/>
          <w:tab w:val="left" w:pos="9072"/>
        </w:tabs>
        <w:spacing w:before="120" w:line="240" w:lineRule="auto"/>
        <w:ind w:left="1418" w:right="1126"/>
        <w:jc w:val="both"/>
        <w:rPr>
          <w:rFonts w:cs="Arial"/>
        </w:rPr>
      </w:pPr>
      <w:r w:rsidRPr="00EA1465">
        <w:rPr>
          <w:rFonts w:cs="Arial"/>
        </w:rPr>
        <w:t xml:space="preserve">HotelInvest : </w:t>
      </w:r>
      <w:r w:rsidR="00EA1465" w:rsidRPr="00EA1465">
        <w:rPr>
          <w:rFonts w:cs="Arial"/>
        </w:rPr>
        <w:t>P</w:t>
      </w:r>
      <w:r w:rsidR="00605AF1" w:rsidRPr="00EA1465">
        <w:rPr>
          <w:rFonts w:cs="Arial"/>
        </w:rPr>
        <w:t>oursuite des restructurations à un rythme rapide</w:t>
      </w:r>
    </w:p>
    <w:p w14:paraId="21C35554" w14:textId="637D6C7E" w:rsidR="00F824ED" w:rsidRDefault="00F824ED" w:rsidP="009D7124">
      <w:pPr>
        <w:pStyle w:val="Paragraphedeliste"/>
        <w:numPr>
          <w:ilvl w:val="0"/>
          <w:numId w:val="28"/>
        </w:numPr>
        <w:tabs>
          <w:tab w:val="clear" w:pos="9266"/>
          <w:tab w:val="left" w:pos="9072"/>
        </w:tabs>
        <w:spacing w:before="120" w:line="240" w:lineRule="auto"/>
        <w:ind w:left="1418" w:right="1126"/>
        <w:jc w:val="both"/>
        <w:rPr>
          <w:rFonts w:cs="Arial"/>
        </w:rPr>
      </w:pPr>
      <w:r w:rsidRPr="00EA1465">
        <w:rPr>
          <w:rFonts w:cs="Arial"/>
        </w:rPr>
        <w:t xml:space="preserve">HotelServices : </w:t>
      </w:r>
      <w:r w:rsidR="00F91BA5">
        <w:rPr>
          <w:rFonts w:cs="Arial"/>
        </w:rPr>
        <w:t>Ouverture</w:t>
      </w:r>
      <w:r w:rsidR="00EA1465" w:rsidRPr="00EA1465">
        <w:rPr>
          <w:rFonts w:cs="Arial"/>
        </w:rPr>
        <w:t xml:space="preserve"> </w:t>
      </w:r>
      <w:r w:rsidR="001E2D78">
        <w:rPr>
          <w:rFonts w:cs="Arial"/>
        </w:rPr>
        <w:t>de</w:t>
      </w:r>
      <w:r w:rsidR="00EA1465" w:rsidRPr="00EA1465">
        <w:rPr>
          <w:rFonts w:cs="Arial"/>
        </w:rPr>
        <w:t xml:space="preserve"> 23 449 </w:t>
      </w:r>
      <w:r w:rsidR="00F91BA5">
        <w:rPr>
          <w:rFonts w:cs="Arial"/>
        </w:rPr>
        <w:t xml:space="preserve">nouvelles </w:t>
      </w:r>
      <w:r w:rsidR="00EA1465" w:rsidRPr="00EA1465">
        <w:rPr>
          <w:rFonts w:cs="Arial"/>
        </w:rPr>
        <w:t>chambres (154 hôtels) depuis le début de l’année - Poursuite de la</w:t>
      </w:r>
      <w:r w:rsidR="006158E9">
        <w:rPr>
          <w:rFonts w:cs="Arial"/>
        </w:rPr>
        <w:t xml:space="preserve"> mise en œuvre du plan digital</w:t>
      </w:r>
    </w:p>
    <w:p w14:paraId="258FDCDD" w14:textId="77777777" w:rsidR="006158E9" w:rsidRPr="00EA1465" w:rsidRDefault="006158E9" w:rsidP="006158E9">
      <w:pPr>
        <w:pStyle w:val="Paragraphedeliste"/>
        <w:tabs>
          <w:tab w:val="clear" w:pos="9266"/>
          <w:tab w:val="left" w:pos="9072"/>
        </w:tabs>
        <w:spacing w:before="120" w:line="240" w:lineRule="auto"/>
        <w:ind w:left="1418" w:right="1126"/>
        <w:jc w:val="both"/>
        <w:rPr>
          <w:rFonts w:cs="Arial"/>
        </w:rPr>
      </w:pPr>
    </w:p>
    <w:p w14:paraId="7ED411AE" w14:textId="094090AE" w:rsidR="00605AF1" w:rsidRDefault="00605AF1" w:rsidP="00605AF1">
      <w:pPr>
        <w:jc w:val="both"/>
        <w:rPr>
          <w:b/>
          <w:color w:val="E6A500" w:themeColor="accent2"/>
          <w:sz w:val="24"/>
          <w:szCs w:val="24"/>
        </w:rPr>
      </w:pPr>
      <w:r w:rsidRPr="00060904">
        <w:rPr>
          <w:b/>
          <w:color w:val="E6A500" w:themeColor="accent2"/>
          <w:sz w:val="24"/>
          <w:szCs w:val="24"/>
        </w:rPr>
        <w:lastRenderedPageBreak/>
        <w:t xml:space="preserve">Chiffre d’affaires du </w:t>
      </w:r>
      <w:r w:rsidR="00F25E76">
        <w:rPr>
          <w:b/>
          <w:color w:val="E6A500" w:themeColor="accent2"/>
          <w:sz w:val="24"/>
          <w:szCs w:val="24"/>
        </w:rPr>
        <w:t>3</w:t>
      </w:r>
      <w:r w:rsidR="00F25E76" w:rsidRPr="00F25E76">
        <w:rPr>
          <w:b/>
          <w:color w:val="E6A500" w:themeColor="accent2"/>
          <w:sz w:val="24"/>
          <w:szCs w:val="24"/>
          <w:vertAlign w:val="superscript"/>
        </w:rPr>
        <w:t>ème</w:t>
      </w:r>
      <w:r w:rsidR="00F25E76">
        <w:rPr>
          <w:b/>
          <w:color w:val="E6A500" w:themeColor="accent2"/>
          <w:sz w:val="24"/>
          <w:szCs w:val="24"/>
        </w:rPr>
        <w:t xml:space="preserve"> tri</w:t>
      </w:r>
      <w:r w:rsidRPr="00060904">
        <w:rPr>
          <w:b/>
          <w:color w:val="E6A500" w:themeColor="accent2"/>
          <w:sz w:val="24"/>
          <w:szCs w:val="24"/>
        </w:rPr>
        <w:t>mestre 2015</w:t>
      </w:r>
    </w:p>
    <w:p w14:paraId="188B1B8E" w14:textId="77777777" w:rsidR="00605AF1" w:rsidRPr="00605AF1" w:rsidRDefault="00605AF1" w:rsidP="00605AF1">
      <w:pPr>
        <w:jc w:val="both"/>
        <w:rPr>
          <w:b/>
          <w:color w:val="E6A500" w:themeColor="accent2"/>
          <w:sz w:val="24"/>
          <w:szCs w:val="24"/>
        </w:rPr>
      </w:pPr>
    </w:p>
    <w:p w14:paraId="40BB3FC7" w14:textId="212D9DFC" w:rsidR="00060904" w:rsidRPr="00605AF1" w:rsidRDefault="00C95F00" w:rsidP="00605AF1">
      <w:pPr>
        <w:spacing w:before="120" w:line="240" w:lineRule="auto"/>
        <w:jc w:val="both"/>
        <w:rPr>
          <w:rFonts w:cs="Arial"/>
          <w:u w:val="single"/>
        </w:rPr>
      </w:pPr>
      <w:r>
        <w:rPr>
          <w:rFonts w:cs="Arial"/>
          <w:u w:val="single"/>
        </w:rPr>
        <w:t>Bonne progression</w:t>
      </w:r>
      <w:r w:rsidR="00060904" w:rsidRPr="00605AF1">
        <w:rPr>
          <w:rFonts w:cs="Arial"/>
          <w:u w:val="single"/>
        </w:rPr>
        <w:t xml:space="preserve"> du chiffre d’affaires</w:t>
      </w:r>
    </w:p>
    <w:p w14:paraId="6A8A8F6E" w14:textId="7BC1DBDA" w:rsidR="00060904" w:rsidRPr="005C257F" w:rsidRDefault="00060904" w:rsidP="00060904">
      <w:pPr>
        <w:pStyle w:val="Texteavecpuces"/>
        <w:numPr>
          <w:ilvl w:val="0"/>
          <w:numId w:val="0"/>
        </w:numPr>
        <w:spacing w:after="20" w:line="276" w:lineRule="auto"/>
        <w:jc w:val="both"/>
        <w:rPr>
          <w:rFonts w:cs="Arial"/>
          <w:noProof/>
          <w:kern w:val="28"/>
        </w:rPr>
      </w:pPr>
    </w:p>
    <w:p w14:paraId="27423371" w14:textId="63476B86" w:rsidR="00060904" w:rsidRDefault="006B3893" w:rsidP="005F1C6A">
      <w:pPr>
        <w:pStyle w:val="Texteavecpuces"/>
        <w:numPr>
          <w:ilvl w:val="0"/>
          <w:numId w:val="0"/>
        </w:numPr>
        <w:spacing w:after="20" w:line="276" w:lineRule="auto"/>
        <w:ind w:left="-284"/>
        <w:jc w:val="center"/>
        <w:rPr>
          <w:b/>
          <w:noProof/>
          <w:color w:val="0F2F7E"/>
          <w:kern w:val="28"/>
          <w:sz w:val="32"/>
          <w:szCs w:val="36"/>
        </w:rPr>
      </w:pPr>
      <w:r>
        <w:rPr>
          <w:rFonts w:cs="Arial"/>
          <w:noProof/>
          <w:color w:val="E6A500"/>
          <w:kern w:val="28"/>
          <w:sz w:val="32"/>
          <w:szCs w:val="32"/>
        </w:rPr>
        <mc:AlternateContent>
          <mc:Choice Requires="wps">
            <w:drawing>
              <wp:anchor distT="0" distB="0" distL="114300" distR="114300" simplePos="0" relativeHeight="251691008" behindDoc="0" locked="0" layoutInCell="1" allowOverlap="1" wp14:anchorId="1F7CF227" wp14:editId="10DA990B">
                <wp:simplePos x="0" y="0"/>
                <wp:positionH relativeFrom="column">
                  <wp:posOffset>672779</wp:posOffset>
                </wp:positionH>
                <wp:positionV relativeFrom="paragraph">
                  <wp:posOffset>732922</wp:posOffset>
                </wp:positionV>
                <wp:extent cx="4938666" cy="0"/>
                <wp:effectExtent l="0" t="0" r="14605" b="19050"/>
                <wp:wrapNone/>
                <wp:docPr id="1" name="Connecteur droit 1"/>
                <wp:cNvGraphicFramePr/>
                <a:graphic xmlns:a="http://schemas.openxmlformats.org/drawingml/2006/main">
                  <a:graphicData uri="http://schemas.microsoft.com/office/word/2010/wordprocessingShape">
                    <wps:wsp>
                      <wps:cNvCnPr/>
                      <wps:spPr>
                        <a:xfrm>
                          <a:off x="0" y="0"/>
                          <a:ext cx="4938666" cy="0"/>
                        </a:xfrm>
                        <a:prstGeom prst="line">
                          <a:avLst/>
                        </a:prstGeom>
                        <a:ln w="6350">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4A31CFF" id="Connecteur droit 1"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95pt,57.7pt" to="441.8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" strokecolor="#bfbfbf [2412]" strokeweight=".5pt"/>
            </w:pict>
          </mc:Fallback>
        </mc:AlternateContent>
      </w:r>
      <w:r w:rsidR="00746923" w:rsidRPr="00FC1B9B">
        <w:rPr>
          <w:rFonts w:cs="Arial"/>
          <w:noProof/>
          <w:color w:val="E6A500"/>
          <w:kern w:val="28"/>
          <w:sz w:val="32"/>
          <w:szCs w:val="32"/>
        </w:rPr>
        <mc:AlternateContent>
          <mc:Choice Requires="wps">
            <w:drawing>
              <wp:anchor distT="0" distB="0" distL="114300" distR="114300" simplePos="0" relativeHeight="251675648" behindDoc="0" locked="0" layoutInCell="1" allowOverlap="1" wp14:anchorId="26B18065" wp14:editId="07D64905">
                <wp:simplePos x="0" y="0"/>
                <wp:positionH relativeFrom="column">
                  <wp:posOffset>3273899</wp:posOffset>
                </wp:positionH>
                <wp:positionV relativeFrom="paragraph">
                  <wp:posOffset>47625</wp:posOffset>
                </wp:positionV>
                <wp:extent cx="600075" cy="1125941"/>
                <wp:effectExtent l="0" t="0" r="28575" b="17145"/>
                <wp:wrapNone/>
                <wp:docPr id="4" name="Rectangle à coins arrondis 8"/>
                <wp:cNvGraphicFramePr/>
                <a:graphic xmlns:a="http://schemas.openxmlformats.org/drawingml/2006/main">
                  <a:graphicData uri="http://schemas.microsoft.com/office/word/2010/wordprocessingShape">
                    <wps:wsp>
                      <wps:cNvSpPr/>
                      <wps:spPr>
                        <a:xfrm>
                          <a:off x="0" y="0"/>
                          <a:ext cx="600075" cy="1125941"/>
                        </a:xfrm>
                        <a:prstGeom prst="roundRect">
                          <a:avLst>
                            <a:gd name="adj" fmla="val 4809"/>
                          </a:avLst>
                        </a:prstGeom>
                        <a:noFill/>
                        <a:ln w="6350">
                          <a:solidFill>
                            <a:srgbClr val="E6B400"/>
                          </a:solid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500428C3" id="Rectangle à coins arrondis 8" o:spid="_x0000_s1026" style="position:absolute;margin-left:257.8pt;margin-top:3.75pt;width:47.25pt;height:8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" filled="f" strokecolor="#e6b400" strokeweight=".5pt"/>
            </w:pict>
          </mc:Fallback>
        </mc:AlternateContent>
      </w:r>
      <w:bookmarkStart w:id="1" w:name="_MON_1467015090"/>
      <w:bookmarkEnd w:id="1"/>
      <w:r w:rsidR="000B151E" w:rsidRPr="00797F26">
        <w:rPr>
          <w:b/>
          <w:noProof/>
          <w:color w:val="0F2F7E"/>
          <w:kern w:val="28"/>
          <w:sz w:val="32"/>
          <w:szCs w:val="36"/>
        </w:rPr>
        <w:object w:dxaOrig="7204" w:dyaOrig="1616" w14:anchorId="7D276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pt;height:87pt" o:ole="">
            <v:imagedata r:id="rId8" o:title=""/>
          </v:shape>
          <o:OLEObject Type="Embed" ProgID="Excel.Sheet.12" ShapeID="_x0000_i1025" DrawAspect="Content" ObjectID="_1506348626" r:id="rId9"/>
        </w:object>
      </w:r>
    </w:p>
    <w:p w14:paraId="24B16014" w14:textId="77777777" w:rsidR="00746923" w:rsidRPr="00626E6F" w:rsidRDefault="00746923" w:rsidP="00060904">
      <w:pPr>
        <w:spacing w:before="120" w:line="240" w:lineRule="auto"/>
        <w:jc w:val="both"/>
        <w:rPr>
          <w:rFonts w:cs="Arial"/>
          <w:sz w:val="14"/>
        </w:rPr>
      </w:pPr>
    </w:p>
    <w:p w14:paraId="5C9D6E52" w14:textId="3D05A9AA" w:rsidR="00605AF1" w:rsidRDefault="00060904" w:rsidP="006A6B48">
      <w:pPr>
        <w:spacing w:before="120" w:line="240" w:lineRule="auto"/>
        <w:jc w:val="both"/>
        <w:rPr>
          <w:rFonts w:cs="Arial"/>
        </w:rPr>
      </w:pPr>
      <w:r w:rsidRPr="00060904">
        <w:rPr>
          <w:rFonts w:cs="Arial"/>
        </w:rPr>
        <w:t xml:space="preserve">Le </w:t>
      </w:r>
      <w:r w:rsidRPr="005778AF">
        <w:rPr>
          <w:rFonts w:cs="Arial"/>
          <w:b/>
        </w:rPr>
        <w:t xml:space="preserve">chiffre d’affaires </w:t>
      </w:r>
      <w:r w:rsidR="00215C7F">
        <w:rPr>
          <w:rFonts w:cs="Arial"/>
        </w:rPr>
        <w:t>du</w:t>
      </w:r>
      <w:r w:rsidRPr="00060904">
        <w:rPr>
          <w:rFonts w:cs="Arial"/>
        </w:rPr>
        <w:t xml:space="preserve"> Groupe au </w:t>
      </w:r>
      <w:r w:rsidR="00F25E76">
        <w:rPr>
          <w:rFonts w:cs="Arial"/>
        </w:rPr>
        <w:t>3</w:t>
      </w:r>
      <w:r w:rsidR="00F25E76" w:rsidRPr="00F25E76">
        <w:rPr>
          <w:rFonts w:cs="Arial"/>
          <w:vertAlign w:val="superscript"/>
        </w:rPr>
        <w:t>ème</w:t>
      </w:r>
      <w:r w:rsidR="00F25E76">
        <w:rPr>
          <w:rFonts w:cs="Arial"/>
        </w:rPr>
        <w:t xml:space="preserve"> tri</w:t>
      </w:r>
      <w:r w:rsidR="006A6B48">
        <w:rPr>
          <w:rFonts w:cs="Arial"/>
        </w:rPr>
        <w:t xml:space="preserve">mestre 2015 s’établit à </w:t>
      </w:r>
      <w:r w:rsidR="00C95F00">
        <w:rPr>
          <w:rFonts w:cs="Arial"/>
        </w:rPr>
        <w:t>1</w:t>
      </w:r>
      <w:r w:rsidR="006A6B48">
        <w:rPr>
          <w:rFonts w:cs="Arial"/>
        </w:rPr>
        <w:t> </w:t>
      </w:r>
      <w:r w:rsidR="00C95F00">
        <w:rPr>
          <w:rFonts w:cs="Arial"/>
        </w:rPr>
        <w:t>493</w:t>
      </w:r>
      <w:r w:rsidR="006A6B48">
        <w:rPr>
          <w:rFonts w:cs="Arial"/>
        </w:rPr>
        <w:t xml:space="preserve"> </w:t>
      </w:r>
      <w:r w:rsidRPr="00060904">
        <w:rPr>
          <w:rFonts w:cs="Arial"/>
        </w:rPr>
        <w:t>millions</w:t>
      </w:r>
      <w:r w:rsidR="006A6B48">
        <w:rPr>
          <w:rFonts w:cs="Arial"/>
        </w:rPr>
        <w:t xml:space="preserve"> </w:t>
      </w:r>
      <w:r w:rsidRPr="00060904">
        <w:rPr>
          <w:rFonts w:cs="Arial"/>
        </w:rPr>
        <w:t xml:space="preserve">d’euros, en hausse de </w:t>
      </w:r>
      <w:r w:rsidR="00B27054">
        <w:rPr>
          <w:rFonts w:cs="Arial"/>
        </w:rPr>
        <w:t>3</w:t>
      </w:r>
      <w:r w:rsidRPr="00060904">
        <w:rPr>
          <w:rFonts w:cs="Arial"/>
        </w:rPr>
        <w:t>,</w:t>
      </w:r>
      <w:r w:rsidR="00B27054">
        <w:rPr>
          <w:rFonts w:cs="Arial"/>
        </w:rPr>
        <w:t>4</w:t>
      </w:r>
      <w:r w:rsidRPr="00060904">
        <w:rPr>
          <w:rFonts w:cs="Arial"/>
        </w:rPr>
        <w:t>% à périmètre et change constants (</w:t>
      </w:r>
      <w:r w:rsidR="00EA1465">
        <w:rPr>
          <w:rFonts w:cs="Arial"/>
        </w:rPr>
        <w:t>+</w:t>
      </w:r>
      <w:r w:rsidR="00C95F00">
        <w:rPr>
          <w:rFonts w:cs="Arial"/>
        </w:rPr>
        <w:t>2</w:t>
      </w:r>
      <w:r w:rsidRPr="00060904">
        <w:rPr>
          <w:rFonts w:cs="Arial"/>
        </w:rPr>
        <w:t>,</w:t>
      </w:r>
      <w:r w:rsidR="00C95F00">
        <w:rPr>
          <w:rFonts w:cs="Arial"/>
        </w:rPr>
        <w:t>4</w:t>
      </w:r>
      <w:r w:rsidRPr="00060904">
        <w:rPr>
          <w:rFonts w:cs="Arial"/>
        </w:rPr>
        <w:t xml:space="preserve">% en publié) par rapport au </w:t>
      </w:r>
      <w:r w:rsidR="00C95F00">
        <w:rPr>
          <w:rFonts w:cs="Arial"/>
        </w:rPr>
        <w:t>3</w:t>
      </w:r>
      <w:r w:rsidR="00C95F00" w:rsidRPr="00C95F00">
        <w:rPr>
          <w:rFonts w:cs="Arial"/>
          <w:vertAlign w:val="superscript"/>
        </w:rPr>
        <w:t>ème</w:t>
      </w:r>
      <w:r w:rsidR="00C95F00">
        <w:rPr>
          <w:rFonts w:cs="Arial"/>
        </w:rPr>
        <w:t xml:space="preserve"> tri</w:t>
      </w:r>
      <w:r w:rsidRPr="00060904">
        <w:rPr>
          <w:rFonts w:cs="Arial"/>
        </w:rPr>
        <w:t>mestre 2014</w:t>
      </w:r>
      <w:r w:rsidR="00215C7F">
        <w:rPr>
          <w:rFonts w:cs="Arial"/>
        </w:rPr>
        <w:t>. Cette progression résulte d’</w:t>
      </w:r>
      <w:r w:rsidRPr="00060904">
        <w:rPr>
          <w:rFonts w:cs="Arial"/>
        </w:rPr>
        <w:t>une activité favorable dans la majorité des marchés clés du Groupe</w:t>
      </w:r>
      <w:r w:rsidR="001E2D78">
        <w:rPr>
          <w:rFonts w:cs="Arial"/>
        </w:rPr>
        <w:t>,</w:t>
      </w:r>
      <w:r w:rsidR="00B50AC1">
        <w:rPr>
          <w:rFonts w:cs="Arial"/>
        </w:rPr>
        <w:t xml:space="preserve"> situés notamment dans les régions </w:t>
      </w:r>
      <w:r w:rsidR="00B50AC1" w:rsidRPr="00060904">
        <w:rPr>
          <w:rFonts w:cs="Arial"/>
        </w:rPr>
        <w:t>Europe Centrale, du N</w:t>
      </w:r>
      <w:r w:rsidR="00B50AC1">
        <w:rPr>
          <w:rFonts w:cs="Arial"/>
        </w:rPr>
        <w:t>ord et de l’Est (NCEE</w:t>
      </w:r>
      <w:r w:rsidR="00751901">
        <w:rPr>
          <w:rFonts w:cs="Arial"/>
        </w:rPr>
        <w:t>, CA +4,8% à pcc</w:t>
      </w:r>
      <w:r w:rsidR="00B50AC1">
        <w:rPr>
          <w:rFonts w:cs="Arial"/>
        </w:rPr>
        <w:t xml:space="preserve">), ainsi que </w:t>
      </w:r>
      <w:r w:rsidRPr="00060904">
        <w:rPr>
          <w:rFonts w:cs="Arial"/>
        </w:rPr>
        <w:t>Méditerranée</w:t>
      </w:r>
      <w:r w:rsidR="00B50AC1">
        <w:rPr>
          <w:rFonts w:cs="Arial"/>
        </w:rPr>
        <w:t>, Moyen-Orient, Afrique (MMEA</w:t>
      </w:r>
      <w:r w:rsidR="00751901">
        <w:rPr>
          <w:rFonts w:cs="Arial"/>
        </w:rPr>
        <w:t>, CA +10,0% à pcc</w:t>
      </w:r>
      <w:r w:rsidR="00B50AC1">
        <w:rPr>
          <w:rFonts w:cs="Arial"/>
        </w:rPr>
        <w:t>)</w:t>
      </w:r>
      <w:r w:rsidR="00C95F00">
        <w:rPr>
          <w:rFonts w:cs="Arial"/>
        </w:rPr>
        <w:t>.</w:t>
      </w:r>
    </w:p>
    <w:p w14:paraId="57C2473A" w14:textId="7387B00E" w:rsidR="00B50AC1" w:rsidRDefault="00B50AC1" w:rsidP="006A6B48">
      <w:pPr>
        <w:spacing w:before="120" w:line="240" w:lineRule="auto"/>
        <w:jc w:val="both"/>
        <w:rPr>
          <w:rFonts w:cs="Arial"/>
        </w:rPr>
      </w:pPr>
      <w:r>
        <w:rPr>
          <w:rFonts w:cs="Arial"/>
        </w:rPr>
        <w:t>L’environnement reste morose en France, (</w:t>
      </w:r>
      <w:r w:rsidR="00751901">
        <w:rPr>
          <w:rFonts w:cs="Arial"/>
        </w:rPr>
        <w:t>CA +1</w:t>
      </w:r>
      <w:r w:rsidR="004F5937">
        <w:rPr>
          <w:rFonts w:cs="Arial"/>
        </w:rPr>
        <w:t>,</w:t>
      </w:r>
      <w:r w:rsidR="00751901">
        <w:rPr>
          <w:rFonts w:cs="Arial"/>
        </w:rPr>
        <w:t>0% à pcc), où la demande est stable. Dans la lignée des tendances observées depuis le début de l’année, l’activité demeure contrastée entre Paris, toujours difficile, et la Province, avec des RevPAR en bonne progression dans la majorité des grandes villes (Lyon, Bordeaux, Strasbourg, Marseille et Lille notamment).</w:t>
      </w:r>
    </w:p>
    <w:p w14:paraId="2ECE411E" w14:textId="5E8C8C78" w:rsidR="00060904" w:rsidRDefault="00060904" w:rsidP="00626E6F">
      <w:pPr>
        <w:spacing w:before="120" w:line="240" w:lineRule="auto"/>
        <w:jc w:val="both"/>
        <w:rPr>
          <w:rFonts w:cs="Arial"/>
        </w:rPr>
      </w:pPr>
      <w:r w:rsidRPr="00751901">
        <w:rPr>
          <w:rFonts w:cs="Arial"/>
        </w:rPr>
        <w:t>L</w:t>
      </w:r>
      <w:r w:rsidR="00751901">
        <w:rPr>
          <w:rFonts w:cs="Arial"/>
        </w:rPr>
        <w:t>e chiffre d’affaires de l</w:t>
      </w:r>
      <w:r w:rsidRPr="00751901">
        <w:rPr>
          <w:rFonts w:cs="Arial"/>
        </w:rPr>
        <w:t xml:space="preserve">a zone Amériques </w:t>
      </w:r>
      <w:r w:rsidR="00BB0046" w:rsidRPr="00751901">
        <w:rPr>
          <w:rFonts w:cs="Arial"/>
        </w:rPr>
        <w:t xml:space="preserve">est en recul de </w:t>
      </w:r>
      <w:r w:rsidR="001C35B3">
        <w:rPr>
          <w:rFonts w:cs="Arial"/>
        </w:rPr>
        <w:t>6,7</w:t>
      </w:r>
      <w:r w:rsidRPr="00751901">
        <w:rPr>
          <w:rFonts w:cs="Arial"/>
        </w:rPr>
        <w:t>%</w:t>
      </w:r>
      <w:r w:rsidR="00751901">
        <w:rPr>
          <w:rFonts w:cs="Arial"/>
        </w:rPr>
        <w:t xml:space="preserve"> à pcc, sous le poids du Brésil (CA en baisse de 12,7% à pcc), qui traverse une crise profonde, amplifiée par l’évolution défavorable du Real, et des effets de bases élevés en juillet liés à la Coupe du Monde de Football en 2014.</w:t>
      </w:r>
    </w:p>
    <w:p w14:paraId="59B8D899" w14:textId="45D6B361" w:rsidR="008F3DC7" w:rsidRDefault="008F3DC7">
      <w:pPr>
        <w:tabs>
          <w:tab w:val="clear" w:pos="9266"/>
        </w:tabs>
        <w:spacing w:line="240" w:lineRule="auto"/>
        <w:ind w:left="0" w:right="0"/>
        <w:rPr>
          <w:rFonts w:cs="Arial"/>
        </w:rPr>
      </w:pPr>
    </w:p>
    <w:p w14:paraId="39A4E82D" w14:textId="3200E324" w:rsidR="00060904" w:rsidRPr="00645153" w:rsidRDefault="00060904" w:rsidP="00060904">
      <w:pPr>
        <w:spacing w:before="120" w:line="240" w:lineRule="auto"/>
        <w:jc w:val="both"/>
        <w:rPr>
          <w:rFonts w:cs="Arial"/>
          <w:u w:val="single"/>
        </w:rPr>
      </w:pPr>
      <w:r w:rsidRPr="00645153">
        <w:rPr>
          <w:rFonts w:cs="Arial"/>
          <w:u w:val="single"/>
        </w:rPr>
        <w:t xml:space="preserve">Chiffre d’affaires par métier et par zone </w:t>
      </w:r>
      <w:r w:rsidR="00F25E76">
        <w:rPr>
          <w:rFonts w:cs="Arial"/>
          <w:u w:val="single"/>
        </w:rPr>
        <w:t>géographique au 3</w:t>
      </w:r>
      <w:r w:rsidR="00F25E76" w:rsidRPr="00F25E76">
        <w:rPr>
          <w:rFonts w:cs="Arial"/>
          <w:u w:val="single"/>
          <w:vertAlign w:val="superscript"/>
        </w:rPr>
        <w:t>ème</w:t>
      </w:r>
      <w:r w:rsidR="00F25E76">
        <w:rPr>
          <w:rFonts w:cs="Arial"/>
          <w:u w:val="single"/>
        </w:rPr>
        <w:t xml:space="preserve"> tri</w:t>
      </w:r>
      <w:r w:rsidRPr="00645153">
        <w:rPr>
          <w:rFonts w:cs="Arial"/>
          <w:u w:val="single"/>
        </w:rPr>
        <w:t>mestre 2015</w:t>
      </w:r>
    </w:p>
    <w:p w14:paraId="066BDCBE" w14:textId="5FEEA9F0" w:rsidR="00060904" w:rsidRPr="005C257F" w:rsidRDefault="00060904" w:rsidP="00060904">
      <w:pPr>
        <w:spacing w:before="120" w:line="240" w:lineRule="auto"/>
        <w:jc w:val="both"/>
        <w:rPr>
          <w:rFonts w:cs="Arial"/>
        </w:rPr>
      </w:pPr>
    </w:p>
    <w:p w14:paraId="7300290E" w14:textId="13E9B4DA" w:rsidR="00060904" w:rsidRPr="005F1C6A" w:rsidRDefault="00E9653A" w:rsidP="005F1C6A">
      <w:pPr>
        <w:pStyle w:val="Texteavecpuces"/>
        <w:numPr>
          <w:ilvl w:val="0"/>
          <w:numId w:val="0"/>
        </w:numPr>
        <w:spacing w:after="20" w:line="276" w:lineRule="auto"/>
        <w:ind w:left="-284"/>
        <w:jc w:val="center"/>
        <w:rPr>
          <w:b/>
          <w:noProof/>
          <w:color w:val="0F2F7E"/>
          <w:kern w:val="28"/>
          <w:sz w:val="32"/>
          <w:szCs w:val="36"/>
        </w:rPr>
      </w:pPr>
      <w:r w:rsidRPr="005F1C6A">
        <w:rPr>
          <w:b/>
          <w:noProof/>
          <w:color w:val="0F2F7E"/>
          <w:kern w:val="28"/>
          <w:sz w:val="32"/>
          <w:szCs w:val="36"/>
        </w:rPr>
        <mc:AlternateContent>
          <mc:Choice Requires="wps">
            <w:drawing>
              <wp:anchor distT="0" distB="0" distL="114300" distR="114300" simplePos="0" relativeHeight="251671552" behindDoc="0" locked="0" layoutInCell="1" allowOverlap="1" wp14:anchorId="67669403" wp14:editId="7C737F5C">
                <wp:simplePos x="0" y="0"/>
                <wp:positionH relativeFrom="column">
                  <wp:posOffset>4442129</wp:posOffset>
                </wp:positionH>
                <wp:positionV relativeFrom="paragraph">
                  <wp:posOffset>300355</wp:posOffset>
                </wp:positionV>
                <wp:extent cx="621030" cy="1466850"/>
                <wp:effectExtent l="0" t="0" r="26670" b="19050"/>
                <wp:wrapNone/>
                <wp:docPr id="15" name="Rectangle à coins arrondis 8"/>
                <wp:cNvGraphicFramePr/>
                <a:graphic xmlns:a="http://schemas.openxmlformats.org/drawingml/2006/main">
                  <a:graphicData uri="http://schemas.microsoft.com/office/word/2010/wordprocessingShape">
                    <wps:wsp>
                      <wps:cNvSpPr/>
                      <wps:spPr>
                        <a:xfrm>
                          <a:off x="0" y="0"/>
                          <a:ext cx="621030" cy="1466850"/>
                        </a:xfrm>
                        <a:prstGeom prst="roundRect">
                          <a:avLst>
                            <a:gd name="adj" fmla="val 4809"/>
                          </a:avLst>
                        </a:prstGeom>
                        <a:noFill/>
                        <a:ln w="6350">
                          <a:solidFill>
                            <a:srgbClr val="E6B400"/>
                          </a:solid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49FA0FD3" id="Rectangle à coins arrondis 8" o:spid="_x0000_s1026" style="position:absolute;margin-left:349.75pt;margin-top:23.65pt;width:48.9pt;height:1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" filled="f" strokecolor="#e6b400" strokeweight=".5pt"/>
            </w:pict>
          </mc:Fallback>
        </mc:AlternateContent>
      </w:r>
      <w:r w:rsidR="006646AA" w:rsidRPr="005F1C6A">
        <w:rPr>
          <w:b/>
          <w:noProof/>
          <w:color w:val="0F2F7E"/>
          <w:kern w:val="28"/>
          <w:sz w:val="32"/>
          <w:szCs w:val="36"/>
        </w:rPr>
        <mc:AlternateContent>
          <mc:Choice Requires="wps">
            <w:drawing>
              <wp:anchor distT="0" distB="0" distL="114300" distR="114300" simplePos="0" relativeHeight="251670528" behindDoc="0" locked="0" layoutInCell="1" allowOverlap="1" wp14:anchorId="41A20F09" wp14:editId="414BDDC5">
                <wp:simplePos x="0" y="0"/>
                <wp:positionH relativeFrom="column">
                  <wp:posOffset>2486329</wp:posOffset>
                </wp:positionH>
                <wp:positionV relativeFrom="paragraph">
                  <wp:posOffset>297180</wp:posOffset>
                </wp:positionV>
                <wp:extent cx="621030" cy="1476375"/>
                <wp:effectExtent l="0" t="0" r="26670" b="28575"/>
                <wp:wrapNone/>
                <wp:docPr id="14" name="Rectangle à coins arrondis 8"/>
                <wp:cNvGraphicFramePr/>
                <a:graphic xmlns:a="http://schemas.openxmlformats.org/drawingml/2006/main">
                  <a:graphicData uri="http://schemas.microsoft.com/office/word/2010/wordprocessingShape">
                    <wps:wsp>
                      <wps:cNvSpPr/>
                      <wps:spPr>
                        <a:xfrm>
                          <a:off x="0" y="0"/>
                          <a:ext cx="621030" cy="1476375"/>
                        </a:xfrm>
                        <a:prstGeom prst="roundRect">
                          <a:avLst>
                            <a:gd name="adj" fmla="val 4809"/>
                          </a:avLst>
                        </a:prstGeom>
                        <a:noFill/>
                        <a:ln w="6350">
                          <a:solidFill>
                            <a:srgbClr val="E6B400"/>
                          </a:solid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3520A09B" id="Rectangle à coins arrondis 8" o:spid="_x0000_s1026" style="position:absolute;margin-left:195.75pt;margin-top:23.4pt;width:48.9pt;height:11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" filled="f" strokecolor="#e6b400" strokeweight=".5pt"/>
            </w:pict>
          </mc:Fallback>
        </mc:AlternateContent>
      </w:r>
      <w:bookmarkStart w:id="2" w:name="_MON_1466705928"/>
      <w:bookmarkEnd w:id="2"/>
      <w:r w:rsidR="00D27DAD" w:rsidRPr="005F1C6A">
        <w:rPr>
          <w:b/>
          <w:noProof/>
          <w:color w:val="0F2F7E"/>
          <w:kern w:val="28"/>
          <w:sz w:val="32"/>
          <w:szCs w:val="36"/>
        </w:rPr>
        <w:object w:dxaOrig="10182" w:dyaOrig="3425" w14:anchorId="61E5A499">
          <v:shape id="_x0000_i1026" type="#_x0000_t75" style="width:404.25pt;height:137.25pt" o:ole="">
            <v:imagedata r:id="rId10" o:title=""/>
          </v:shape>
          <o:OLEObject Type="Embed" ProgID="Excel.Sheet.12" ShapeID="_x0000_i1026" DrawAspect="Content" ObjectID="_1506348627" r:id="rId11"/>
        </w:object>
      </w:r>
    </w:p>
    <w:p w14:paraId="0BBC418A" w14:textId="77777777" w:rsidR="00645153" w:rsidRPr="009E0CC5" w:rsidRDefault="00645153" w:rsidP="00060904">
      <w:pPr>
        <w:spacing w:line="240" w:lineRule="auto"/>
        <w:rPr>
          <w:sz w:val="16"/>
          <w:szCs w:val="16"/>
        </w:rPr>
      </w:pPr>
    </w:p>
    <w:p w14:paraId="6833FB97" w14:textId="53A78285" w:rsidR="00060904" w:rsidRPr="00AC4934" w:rsidRDefault="00E17521" w:rsidP="00060904">
      <w:pPr>
        <w:spacing w:line="240" w:lineRule="auto"/>
        <w:rPr>
          <w:sz w:val="16"/>
          <w:szCs w:val="16"/>
        </w:rPr>
      </w:pPr>
      <w:r>
        <w:rPr>
          <w:sz w:val="16"/>
          <w:szCs w:val="16"/>
        </w:rPr>
        <w:t xml:space="preserve"> </w:t>
      </w:r>
      <w:r w:rsidR="000C142A">
        <w:rPr>
          <w:sz w:val="16"/>
          <w:szCs w:val="16"/>
        </w:rPr>
        <w:t>(</w:t>
      </w:r>
      <w:r>
        <w:rPr>
          <w:sz w:val="16"/>
          <w:szCs w:val="16"/>
        </w:rPr>
        <w:t>1</w:t>
      </w:r>
      <w:r w:rsidR="000C142A">
        <w:rPr>
          <w:sz w:val="16"/>
          <w:szCs w:val="16"/>
        </w:rPr>
        <w:t>)</w:t>
      </w:r>
      <w:r w:rsidR="00060904" w:rsidRPr="00AC4934">
        <w:rPr>
          <w:sz w:val="16"/>
          <w:szCs w:val="16"/>
        </w:rPr>
        <w:t xml:space="preserve"> dont </w:t>
      </w:r>
      <w:r w:rsidR="00954B23">
        <w:rPr>
          <w:sz w:val="16"/>
          <w:szCs w:val="16"/>
        </w:rPr>
        <w:t>157</w:t>
      </w:r>
      <w:r w:rsidR="00060904" w:rsidRPr="00AC6A16">
        <w:rPr>
          <w:sz w:val="16"/>
          <w:szCs w:val="16"/>
        </w:rPr>
        <w:t xml:space="preserve"> m</w:t>
      </w:r>
      <w:r w:rsidR="007818AC">
        <w:rPr>
          <w:sz w:val="16"/>
          <w:szCs w:val="16"/>
        </w:rPr>
        <w:t>illions d’euros de flux i</w:t>
      </w:r>
      <w:r w:rsidR="00060904" w:rsidRPr="00AC4934">
        <w:rPr>
          <w:sz w:val="16"/>
          <w:szCs w:val="16"/>
        </w:rPr>
        <w:t>nternes</w:t>
      </w:r>
    </w:p>
    <w:p w14:paraId="78080470" w14:textId="4A0C4542" w:rsidR="00AB49DD" w:rsidRDefault="00AB49DD">
      <w:pPr>
        <w:tabs>
          <w:tab w:val="clear" w:pos="9266"/>
        </w:tabs>
        <w:spacing w:line="240" w:lineRule="auto"/>
        <w:ind w:left="0" w:right="0"/>
        <w:rPr>
          <w:rFonts w:cs="Arial"/>
          <w:b/>
          <w:noProof/>
          <w:color w:val="002A41"/>
          <w:kern w:val="28"/>
          <w:sz w:val="32"/>
          <w:szCs w:val="32"/>
        </w:rPr>
      </w:pPr>
    </w:p>
    <w:p w14:paraId="0AABDBB5" w14:textId="77777777" w:rsidR="00751901" w:rsidRDefault="00751901">
      <w:pPr>
        <w:tabs>
          <w:tab w:val="clear" w:pos="9266"/>
        </w:tabs>
        <w:spacing w:line="240" w:lineRule="auto"/>
        <w:ind w:left="0" w:right="0"/>
        <w:rPr>
          <w:rFonts w:cs="Arial"/>
        </w:rPr>
      </w:pPr>
      <w:r>
        <w:rPr>
          <w:rFonts w:cs="Arial"/>
        </w:rPr>
        <w:br w:type="page"/>
      </w:r>
    </w:p>
    <w:p w14:paraId="5C8496A3" w14:textId="6EAD553C" w:rsidR="00605AF1" w:rsidRPr="00060904" w:rsidRDefault="00605AF1" w:rsidP="00605AF1">
      <w:pPr>
        <w:spacing w:before="120" w:line="240" w:lineRule="auto"/>
        <w:jc w:val="both"/>
        <w:rPr>
          <w:rFonts w:cs="Arial"/>
        </w:rPr>
      </w:pPr>
      <w:r w:rsidRPr="00060904">
        <w:rPr>
          <w:rFonts w:cs="Arial"/>
        </w:rPr>
        <w:lastRenderedPageBreak/>
        <w:t>Les données publiées reflètent les éléments suivants :</w:t>
      </w:r>
    </w:p>
    <w:p w14:paraId="6593E2F3" w14:textId="77777777" w:rsidR="00605AF1" w:rsidRPr="00271D1A" w:rsidRDefault="00605AF1" w:rsidP="00605AF1">
      <w:pPr>
        <w:spacing w:line="240" w:lineRule="auto"/>
        <w:jc w:val="both"/>
        <w:rPr>
          <w:sz w:val="12"/>
        </w:rPr>
      </w:pPr>
    </w:p>
    <w:p w14:paraId="75766827" w14:textId="3E9E276D" w:rsidR="00605AF1" w:rsidRPr="00D27DAD" w:rsidRDefault="00605AF1" w:rsidP="00306D4D">
      <w:pPr>
        <w:pStyle w:val="Paragraphedeliste"/>
        <w:numPr>
          <w:ilvl w:val="0"/>
          <w:numId w:val="28"/>
        </w:numPr>
        <w:spacing w:before="120" w:line="240" w:lineRule="auto"/>
        <w:ind w:left="1418"/>
        <w:jc w:val="both"/>
        <w:rPr>
          <w:rFonts w:cs="Arial"/>
        </w:rPr>
      </w:pPr>
      <w:r w:rsidRPr="00A475B0">
        <w:rPr>
          <w:rFonts w:cs="Arial"/>
        </w:rPr>
        <w:t>Le développement</w:t>
      </w:r>
      <w:r w:rsidR="00795034">
        <w:rPr>
          <w:rFonts w:cs="Arial"/>
        </w:rPr>
        <w:t>,</w:t>
      </w:r>
      <w:r w:rsidRPr="00A475B0">
        <w:rPr>
          <w:rFonts w:cs="Arial"/>
        </w:rPr>
        <w:t xml:space="preserve"> pour </w:t>
      </w:r>
      <w:r w:rsidR="00EF3B66">
        <w:rPr>
          <w:rFonts w:cs="Arial"/>
        </w:rPr>
        <w:t>2</w:t>
      </w:r>
      <w:r w:rsidR="00795034">
        <w:rPr>
          <w:rFonts w:cs="Arial"/>
        </w:rPr>
        <w:t>5</w:t>
      </w:r>
      <w:r w:rsidR="00A54C94">
        <w:rPr>
          <w:rFonts w:cs="Arial"/>
        </w:rPr>
        <w:t xml:space="preserve"> millions d’euros (+</w:t>
      </w:r>
      <w:r w:rsidR="00306D4D">
        <w:rPr>
          <w:rFonts w:cs="Arial"/>
        </w:rPr>
        <w:t>1</w:t>
      </w:r>
      <w:r w:rsidR="00757304">
        <w:rPr>
          <w:rFonts w:cs="Arial"/>
        </w:rPr>
        <w:t>,</w:t>
      </w:r>
      <w:r w:rsidR="00795034">
        <w:rPr>
          <w:rFonts w:cs="Arial"/>
        </w:rPr>
        <w:t>7</w:t>
      </w:r>
      <w:r w:rsidRPr="00A475B0">
        <w:rPr>
          <w:rFonts w:cs="Arial"/>
        </w:rPr>
        <w:t xml:space="preserve">%) avec l’ouverture de </w:t>
      </w:r>
      <w:r w:rsidR="00306D4D">
        <w:rPr>
          <w:rFonts w:cs="Arial"/>
        </w:rPr>
        <w:t xml:space="preserve"> </w:t>
      </w:r>
      <w:r w:rsidR="00795034">
        <w:rPr>
          <w:rFonts w:cs="Arial"/>
        </w:rPr>
        <w:br/>
      </w:r>
      <w:r w:rsidR="00306D4D" w:rsidRPr="00D27DAD">
        <w:rPr>
          <w:rFonts w:cs="Arial"/>
        </w:rPr>
        <w:t>8 4</w:t>
      </w:r>
      <w:r w:rsidR="00757304" w:rsidRPr="00D27DAD">
        <w:rPr>
          <w:rFonts w:cs="Arial"/>
        </w:rPr>
        <w:t>43</w:t>
      </w:r>
      <w:r w:rsidRPr="00D27DAD">
        <w:rPr>
          <w:rFonts w:cs="Arial"/>
        </w:rPr>
        <w:t xml:space="preserve"> </w:t>
      </w:r>
      <w:r w:rsidR="00306D4D" w:rsidRPr="00D27DAD">
        <w:rPr>
          <w:rFonts w:cs="Arial"/>
        </w:rPr>
        <w:t>chambres (55</w:t>
      </w:r>
      <w:r w:rsidRPr="00D27DAD">
        <w:rPr>
          <w:rFonts w:cs="Arial"/>
        </w:rPr>
        <w:t xml:space="preserve"> hôtels), à </w:t>
      </w:r>
      <w:r w:rsidR="005143DD" w:rsidRPr="00D27DAD">
        <w:rPr>
          <w:rFonts w:cs="Arial"/>
        </w:rPr>
        <w:t>82</w:t>
      </w:r>
      <w:r w:rsidRPr="00D27DAD">
        <w:rPr>
          <w:rFonts w:cs="Arial"/>
        </w:rPr>
        <w:t>% en contrats de management et franchise</w:t>
      </w:r>
      <w:r w:rsidR="00795034" w:rsidRPr="00D27DAD">
        <w:rPr>
          <w:rFonts w:cs="Arial"/>
        </w:rPr>
        <w:t> ;</w:t>
      </w:r>
    </w:p>
    <w:p w14:paraId="5A86A53D" w14:textId="4EB73154" w:rsidR="00605AF1" w:rsidRPr="00D27DAD" w:rsidRDefault="00605AF1" w:rsidP="00605AF1">
      <w:pPr>
        <w:pStyle w:val="Paragraphedeliste"/>
        <w:numPr>
          <w:ilvl w:val="0"/>
          <w:numId w:val="28"/>
        </w:numPr>
        <w:spacing w:before="120" w:line="240" w:lineRule="auto"/>
        <w:ind w:left="1418"/>
        <w:jc w:val="both"/>
        <w:rPr>
          <w:rFonts w:cs="Arial"/>
        </w:rPr>
      </w:pPr>
      <w:r w:rsidRPr="00D27DAD">
        <w:rPr>
          <w:rFonts w:cs="Arial"/>
        </w:rPr>
        <w:t xml:space="preserve">Les </w:t>
      </w:r>
      <w:r w:rsidR="00E17521" w:rsidRPr="00D27DAD">
        <w:rPr>
          <w:rFonts w:cs="Arial"/>
        </w:rPr>
        <w:t>cessions</w:t>
      </w:r>
      <w:r w:rsidRPr="00D27DAD">
        <w:rPr>
          <w:rFonts w:cs="Arial"/>
        </w:rPr>
        <w:t xml:space="preserve">, qui pèsent négativement pour </w:t>
      </w:r>
      <w:r w:rsidR="00795034" w:rsidRPr="00D27DAD">
        <w:rPr>
          <w:rFonts w:cs="Arial"/>
        </w:rPr>
        <w:t>40</w:t>
      </w:r>
      <w:r w:rsidR="00306D4D" w:rsidRPr="00D27DAD">
        <w:rPr>
          <w:rFonts w:cs="Arial"/>
        </w:rPr>
        <w:t xml:space="preserve"> millions d’euros (-2,7</w:t>
      </w:r>
      <w:r w:rsidRPr="00D27DAD">
        <w:rPr>
          <w:rFonts w:cs="Arial"/>
        </w:rPr>
        <w:t>%) ;</w:t>
      </w:r>
    </w:p>
    <w:p w14:paraId="7A7E05C6" w14:textId="5DC66472" w:rsidR="00605AF1" w:rsidRDefault="00605AF1" w:rsidP="00605AF1">
      <w:pPr>
        <w:pStyle w:val="Paragraphedeliste"/>
        <w:numPr>
          <w:ilvl w:val="0"/>
          <w:numId w:val="28"/>
        </w:numPr>
        <w:spacing w:before="120" w:line="240" w:lineRule="auto"/>
        <w:ind w:left="1418"/>
        <w:jc w:val="both"/>
        <w:rPr>
          <w:rFonts w:cs="Arial"/>
        </w:rPr>
      </w:pPr>
      <w:r w:rsidRPr="00D27DAD">
        <w:rPr>
          <w:rFonts w:cs="Arial"/>
        </w:rPr>
        <w:t>Les effets de change, qu</w:t>
      </w:r>
      <w:r w:rsidR="00795034" w:rsidRPr="00D27DAD">
        <w:rPr>
          <w:rFonts w:cs="Arial"/>
        </w:rPr>
        <w:t xml:space="preserve">i pèsent marginalement, avec un impact positif de </w:t>
      </w:r>
      <w:r w:rsidR="00757304" w:rsidRPr="00D27DAD">
        <w:rPr>
          <w:rFonts w:cs="Arial"/>
        </w:rPr>
        <w:t>0</w:t>
      </w:r>
      <w:r w:rsidR="00795034" w:rsidRPr="00D27DAD">
        <w:rPr>
          <w:rFonts w:cs="Arial"/>
        </w:rPr>
        <w:t>,</w:t>
      </w:r>
      <w:r w:rsidR="00757304" w:rsidRPr="00D27DAD">
        <w:rPr>
          <w:rFonts w:cs="Arial"/>
        </w:rPr>
        <w:t>7</w:t>
      </w:r>
      <w:r w:rsidRPr="00D27DAD">
        <w:rPr>
          <w:rFonts w:cs="Arial"/>
        </w:rPr>
        <w:t xml:space="preserve"> million</w:t>
      </w:r>
      <w:r w:rsidR="00795034">
        <w:rPr>
          <w:rFonts w:cs="Arial"/>
        </w:rPr>
        <w:t xml:space="preserve"> d’euros, les</w:t>
      </w:r>
      <w:r w:rsidRPr="00A475B0">
        <w:rPr>
          <w:rFonts w:cs="Arial"/>
        </w:rPr>
        <w:t xml:space="preserve"> hausse</w:t>
      </w:r>
      <w:r w:rsidR="00795034">
        <w:rPr>
          <w:rFonts w:cs="Arial"/>
        </w:rPr>
        <w:t>s</w:t>
      </w:r>
      <w:r w:rsidR="00306D4D">
        <w:rPr>
          <w:rFonts w:cs="Arial"/>
        </w:rPr>
        <w:t xml:space="preserve"> de la Livre Sterling (+16</w:t>
      </w:r>
      <w:r w:rsidRPr="00A475B0">
        <w:rPr>
          <w:rFonts w:cs="Arial"/>
        </w:rPr>
        <w:t>,</w:t>
      </w:r>
      <w:r w:rsidR="00306D4D">
        <w:rPr>
          <w:rFonts w:cs="Arial"/>
        </w:rPr>
        <w:t>7 M€) et du dollar américain (+4</w:t>
      </w:r>
      <w:r w:rsidRPr="00A475B0">
        <w:rPr>
          <w:rFonts w:cs="Arial"/>
        </w:rPr>
        <w:t>,</w:t>
      </w:r>
      <w:r w:rsidR="00306D4D">
        <w:rPr>
          <w:rFonts w:cs="Arial"/>
        </w:rPr>
        <w:t>4</w:t>
      </w:r>
      <w:r w:rsidRPr="00A475B0">
        <w:rPr>
          <w:rFonts w:cs="Arial"/>
        </w:rPr>
        <w:t xml:space="preserve"> M€)</w:t>
      </w:r>
      <w:r w:rsidR="00306D4D">
        <w:rPr>
          <w:rFonts w:cs="Arial"/>
        </w:rPr>
        <w:t xml:space="preserve">, </w:t>
      </w:r>
      <w:r w:rsidR="00795034">
        <w:rPr>
          <w:rFonts w:cs="Arial"/>
        </w:rPr>
        <w:t xml:space="preserve">étant </w:t>
      </w:r>
      <w:r w:rsidR="00306D4D">
        <w:rPr>
          <w:rFonts w:cs="Arial"/>
        </w:rPr>
        <w:t>contrebalancée</w:t>
      </w:r>
      <w:r w:rsidR="00795034">
        <w:rPr>
          <w:rFonts w:cs="Arial"/>
        </w:rPr>
        <w:t>s</w:t>
      </w:r>
      <w:r w:rsidR="00306D4D">
        <w:rPr>
          <w:rFonts w:cs="Arial"/>
        </w:rPr>
        <w:t xml:space="preserve"> par la baisse d</w:t>
      </w:r>
      <w:r w:rsidR="004F5937">
        <w:rPr>
          <w:rFonts w:cs="Arial"/>
        </w:rPr>
        <w:t>u</w:t>
      </w:r>
      <w:r w:rsidR="00306D4D">
        <w:rPr>
          <w:rFonts w:cs="Arial"/>
        </w:rPr>
        <w:t xml:space="preserve"> réal brésilien </w:t>
      </w:r>
      <w:r w:rsidR="00795034">
        <w:rPr>
          <w:rFonts w:cs="Arial"/>
        </w:rPr>
        <w:br/>
      </w:r>
      <w:r w:rsidR="00306D4D">
        <w:rPr>
          <w:rFonts w:cs="Arial"/>
        </w:rPr>
        <w:t>(-20,7 M€)</w:t>
      </w:r>
      <w:r w:rsidRPr="00A475B0">
        <w:rPr>
          <w:rFonts w:cs="Arial"/>
        </w:rPr>
        <w:t>.</w:t>
      </w:r>
    </w:p>
    <w:p w14:paraId="74D31D9D" w14:textId="77777777" w:rsidR="00795034" w:rsidRPr="00A475B0" w:rsidRDefault="00795034" w:rsidP="00795034">
      <w:pPr>
        <w:pStyle w:val="Paragraphedeliste"/>
        <w:spacing w:before="120" w:line="240" w:lineRule="auto"/>
        <w:ind w:left="1418"/>
        <w:jc w:val="both"/>
        <w:rPr>
          <w:rFonts w:cs="Arial"/>
        </w:rPr>
      </w:pPr>
    </w:p>
    <w:p w14:paraId="1D36E3BC" w14:textId="668CDE30" w:rsidR="00795034" w:rsidRPr="00912396" w:rsidRDefault="00795034" w:rsidP="00795034">
      <w:pPr>
        <w:jc w:val="both"/>
        <w:rPr>
          <w:b/>
          <w:color w:val="E6A500" w:themeColor="accent2"/>
          <w:sz w:val="24"/>
          <w:szCs w:val="24"/>
        </w:rPr>
      </w:pPr>
      <w:r w:rsidRPr="00912396">
        <w:rPr>
          <w:b/>
          <w:color w:val="E6A500" w:themeColor="accent2"/>
          <w:sz w:val="24"/>
          <w:szCs w:val="24"/>
        </w:rPr>
        <w:t>HotelInvest : 3</w:t>
      </w:r>
      <w:r w:rsidRPr="00912396">
        <w:rPr>
          <w:b/>
          <w:color w:val="E6A500" w:themeColor="accent2"/>
          <w:sz w:val="24"/>
          <w:szCs w:val="24"/>
          <w:vertAlign w:val="superscript"/>
        </w:rPr>
        <w:t>ème</w:t>
      </w:r>
      <w:r w:rsidR="00912396">
        <w:rPr>
          <w:b/>
          <w:color w:val="E6A500" w:themeColor="accent2"/>
          <w:sz w:val="24"/>
          <w:szCs w:val="24"/>
        </w:rPr>
        <w:t xml:space="preserve"> </w:t>
      </w:r>
      <w:r w:rsidRPr="00912396">
        <w:rPr>
          <w:b/>
          <w:color w:val="E6A500" w:themeColor="accent2"/>
          <w:sz w:val="24"/>
          <w:szCs w:val="24"/>
        </w:rPr>
        <w:t>trimestre en hausse de 2,0% à données comparables, à 1 295 millions d’euros</w:t>
      </w:r>
    </w:p>
    <w:p w14:paraId="5DCB6D8D" w14:textId="77777777" w:rsidR="00795034" w:rsidRPr="00407B21" w:rsidRDefault="00795034" w:rsidP="00795034">
      <w:pPr>
        <w:spacing w:line="240" w:lineRule="auto"/>
        <w:jc w:val="both"/>
        <w:rPr>
          <w:bCs/>
          <w:sz w:val="20"/>
        </w:rPr>
      </w:pPr>
    </w:p>
    <w:p w14:paraId="28E39B19" w14:textId="505EA865" w:rsidR="00795034" w:rsidRPr="00060904" w:rsidRDefault="00757304" w:rsidP="00795034">
      <w:pPr>
        <w:spacing w:before="120" w:line="240" w:lineRule="auto"/>
        <w:jc w:val="both"/>
        <w:rPr>
          <w:rFonts w:cs="Arial"/>
        </w:rPr>
      </w:pPr>
      <w:r>
        <w:rPr>
          <w:rFonts w:cs="Arial"/>
        </w:rPr>
        <w:t>Le c</w:t>
      </w:r>
      <w:r w:rsidR="00795034">
        <w:rPr>
          <w:rFonts w:cs="Arial"/>
        </w:rPr>
        <w:t>hiffre d’affaires</w:t>
      </w:r>
      <w:r w:rsidR="00795034" w:rsidRPr="00060904">
        <w:rPr>
          <w:rFonts w:cs="Arial"/>
        </w:rPr>
        <w:t xml:space="preserve"> d’HotelInvest en </w:t>
      </w:r>
      <w:r w:rsidR="00795034" w:rsidRPr="007F04A6">
        <w:rPr>
          <w:rFonts w:cs="Arial"/>
          <w:b/>
        </w:rPr>
        <w:t>France</w:t>
      </w:r>
      <w:r w:rsidR="00795034" w:rsidRPr="00060904">
        <w:rPr>
          <w:rFonts w:cs="Arial"/>
        </w:rPr>
        <w:t xml:space="preserve"> </w:t>
      </w:r>
      <w:r w:rsidR="00F91BA5">
        <w:rPr>
          <w:rFonts w:cs="Arial"/>
        </w:rPr>
        <w:t>recule</w:t>
      </w:r>
      <w:r w:rsidR="00795034">
        <w:rPr>
          <w:rFonts w:cs="Arial"/>
        </w:rPr>
        <w:t xml:space="preserve"> légèrement (-</w:t>
      </w:r>
      <w:r w:rsidR="00795034" w:rsidRPr="00060904">
        <w:rPr>
          <w:rFonts w:cs="Arial"/>
        </w:rPr>
        <w:t>0,</w:t>
      </w:r>
      <w:r w:rsidR="003426D7">
        <w:rPr>
          <w:rFonts w:cs="Arial"/>
        </w:rPr>
        <w:t>5</w:t>
      </w:r>
      <w:r w:rsidR="00795034" w:rsidRPr="00060904">
        <w:rPr>
          <w:rFonts w:cs="Arial"/>
        </w:rPr>
        <w:t>% à données comparables</w:t>
      </w:r>
      <w:r w:rsidR="00795034">
        <w:rPr>
          <w:rFonts w:cs="Arial"/>
        </w:rPr>
        <w:t>),</w:t>
      </w:r>
      <w:r w:rsidR="00795034" w:rsidRPr="00060904">
        <w:rPr>
          <w:rFonts w:cs="Arial"/>
        </w:rPr>
        <w:t xml:space="preserve"> </w:t>
      </w:r>
      <w:r w:rsidR="00795034">
        <w:rPr>
          <w:rFonts w:cs="Arial"/>
        </w:rPr>
        <w:t xml:space="preserve">avec notamment </w:t>
      </w:r>
      <w:r w:rsidR="00795034" w:rsidRPr="00060904">
        <w:rPr>
          <w:rFonts w:cs="Arial"/>
        </w:rPr>
        <w:t>un</w:t>
      </w:r>
      <w:r w:rsidR="00795034">
        <w:rPr>
          <w:rFonts w:cs="Arial"/>
        </w:rPr>
        <w:t xml:space="preserve"> ralentissement de l’</w:t>
      </w:r>
      <w:r w:rsidR="00795034" w:rsidRPr="00060904">
        <w:rPr>
          <w:rFonts w:cs="Arial"/>
        </w:rPr>
        <w:t>activité sur le</w:t>
      </w:r>
      <w:r w:rsidR="00795034">
        <w:rPr>
          <w:rFonts w:cs="Arial"/>
        </w:rPr>
        <w:t>s</w:t>
      </w:r>
      <w:r w:rsidR="00795034" w:rsidRPr="00060904">
        <w:rPr>
          <w:rFonts w:cs="Arial"/>
        </w:rPr>
        <w:t xml:space="preserve"> segment</w:t>
      </w:r>
      <w:r w:rsidR="00795034">
        <w:rPr>
          <w:rFonts w:cs="Arial"/>
        </w:rPr>
        <w:t>s</w:t>
      </w:r>
      <w:r w:rsidR="00795034" w:rsidRPr="00060904">
        <w:rPr>
          <w:rFonts w:cs="Arial"/>
        </w:rPr>
        <w:t xml:space="preserve"> </w:t>
      </w:r>
      <w:r w:rsidR="00795034">
        <w:rPr>
          <w:rFonts w:cs="Arial"/>
        </w:rPr>
        <w:t xml:space="preserve">économique </w:t>
      </w:r>
      <w:r w:rsidR="003426D7">
        <w:rPr>
          <w:rFonts w:cs="Arial"/>
        </w:rPr>
        <w:t xml:space="preserve">(CA à </w:t>
      </w:r>
      <w:r w:rsidR="003426D7" w:rsidRPr="00D27DAD">
        <w:rPr>
          <w:rFonts w:cs="Arial"/>
        </w:rPr>
        <w:t>-1,</w:t>
      </w:r>
      <w:r w:rsidRPr="00D27DAD">
        <w:rPr>
          <w:rFonts w:cs="Arial"/>
        </w:rPr>
        <w:t>7</w:t>
      </w:r>
      <w:r w:rsidR="003426D7" w:rsidRPr="00D27DAD">
        <w:rPr>
          <w:rFonts w:cs="Arial"/>
        </w:rPr>
        <w:t>% à</w:t>
      </w:r>
      <w:r w:rsidR="003426D7">
        <w:rPr>
          <w:rFonts w:cs="Arial"/>
        </w:rPr>
        <w:t xml:space="preserve"> pcc) </w:t>
      </w:r>
      <w:r w:rsidR="00795034">
        <w:rPr>
          <w:rFonts w:cs="Arial"/>
        </w:rPr>
        <w:t xml:space="preserve">et </w:t>
      </w:r>
      <w:r w:rsidR="00795034" w:rsidRPr="00060904">
        <w:rPr>
          <w:rFonts w:cs="Arial"/>
        </w:rPr>
        <w:t>milieu de gamme</w:t>
      </w:r>
      <w:r w:rsidR="003426D7">
        <w:rPr>
          <w:rFonts w:cs="Arial"/>
        </w:rPr>
        <w:t xml:space="preserve"> (-0,5%), lié au poids des hôtels en propriété et location en Ile de France</w:t>
      </w:r>
      <w:r w:rsidR="00795034" w:rsidRPr="003426D7">
        <w:rPr>
          <w:rFonts w:cs="Arial"/>
        </w:rPr>
        <w:t>.</w:t>
      </w:r>
      <w:r w:rsidR="003426D7">
        <w:rPr>
          <w:rFonts w:cs="Arial"/>
        </w:rPr>
        <w:t xml:space="preserve"> A l’inverse, le segment </w:t>
      </w:r>
      <w:r w:rsidR="007818AC">
        <w:rPr>
          <w:rFonts w:cs="Arial"/>
        </w:rPr>
        <w:t>h</w:t>
      </w:r>
      <w:r w:rsidR="003426D7">
        <w:rPr>
          <w:rFonts w:cs="Arial"/>
        </w:rPr>
        <w:t xml:space="preserve">aut de </w:t>
      </w:r>
      <w:r w:rsidR="007818AC">
        <w:rPr>
          <w:rFonts w:cs="Arial"/>
        </w:rPr>
        <w:t>g</w:t>
      </w:r>
      <w:r w:rsidR="003426D7">
        <w:rPr>
          <w:rFonts w:cs="Arial"/>
        </w:rPr>
        <w:t xml:space="preserve">amme &amp; </w:t>
      </w:r>
      <w:r w:rsidR="007818AC">
        <w:rPr>
          <w:rFonts w:cs="Arial"/>
        </w:rPr>
        <w:t>l</w:t>
      </w:r>
      <w:r w:rsidR="003426D7">
        <w:rPr>
          <w:rFonts w:cs="Arial"/>
        </w:rPr>
        <w:t>uxe enregistre une progression de son chiffre d’affaires à pcc de 2,2%, grâce notamment à une bonne saison estivale.</w:t>
      </w:r>
    </w:p>
    <w:p w14:paraId="3EC1DB1C" w14:textId="01E99D63" w:rsidR="00795034" w:rsidRPr="00060904" w:rsidRDefault="00795034" w:rsidP="00795034">
      <w:pPr>
        <w:spacing w:before="120" w:line="240" w:lineRule="auto"/>
        <w:jc w:val="both"/>
        <w:rPr>
          <w:rFonts w:cs="Arial"/>
        </w:rPr>
      </w:pPr>
      <w:r w:rsidRPr="00060904">
        <w:rPr>
          <w:rFonts w:cs="Arial"/>
        </w:rPr>
        <w:t>La zone Europe Centrale, du Nord et de l’Est  (</w:t>
      </w:r>
      <w:r w:rsidRPr="007F04A6">
        <w:rPr>
          <w:rFonts w:cs="Arial"/>
          <w:b/>
        </w:rPr>
        <w:t>NCEE</w:t>
      </w:r>
      <w:r w:rsidRPr="00060904">
        <w:rPr>
          <w:rFonts w:cs="Arial"/>
        </w:rPr>
        <w:t xml:space="preserve">), qui représente </w:t>
      </w:r>
      <w:r w:rsidR="003426D7">
        <w:rPr>
          <w:rFonts w:cs="Arial"/>
        </w:rPr>
        <w:t>47</w:t>
      </w:r>
      <w:r w:rsidRPr="00060904">
        <w:rPr>
          <w:rFonts w:cs="Arial"/>
        </w:rPr>
        <w:t xml:space="preserve">% du chiffre d’affaires d’HotelInvest, </w:t>
      </w:r>
      <w:r>
        <w:rPr>
          <w:rFonts w:cs="Arial"/>
        </w:rPr>
        <w:t>est en</w:t>
      </w:r>
      <w:r w:rsidRPr="00060904">
        <w:rPr>
          <w:rFonts w:cs="Arial"/>
        </w:rPr>
        <w:t xml:space="preserve"> </w:t>
      </w:r>
      <w:r>
        <w:rPr>
          <w:rFonts w:cs="Arial"/>
        </w:rPr>
        <w:t xml:space="preserve">bonne </w:t>
      </w:r>
      <w:r w:rsidRPr="00060904">
        <w:rPr>
          <w:rFonts w:cs="Arial"/>
        </w:rPr>
        <w:t>prog</w:t>
      </w:r>
      <w:r w:rsidRPr="003426D7">
        <w:rPr>
          <w:rFonts w:cs="Arial"/>
        </w:rPr>
        <w:t xml:space="preserve">ression (+4,2% à pcc), avec des niveaux d’activité toujours soutenus </w:t>
      </w:r>
      <w:r w:rsidR="003426D7" w:rsidRPr="003426D7">
        <w:rPr>
          <w:rFonts w:cs="Arial"/>
        </w:rPr>
        <w:t xml:space="preserve">notamment </w:t>
      </w:r>
      <w:r w:rsidR="007818AC">
        <w:rPr>
          <w:rFonts w:cs="Arial"/>
        </w:rPr>
        <w:t>au</w:t>
      </w:r>
      <w:r w:rsidRPr="003426D7">
        <w:rPr>
          <w:rFonts w:cs="Arial"/>
        </w:rPr>
        <w:t xml:space="preserve"> </w:t>
      </w:r>
      <w:r w:rsidR="007818AC">
        <w:rPr>
          <w:rFonts w:cs="Arial"/>
        </w:rPr>
        <w:t>Royaume-Uni</w:t>
      </w:r>
      <w:r w:rsidRPr="003426D7">
        <w:rPr>
          <w:rFonts w:cs="Arial"/>
        </w:rPr>
        <w:t xml:space="preserve"> </w:t>
      </w:r>
      <w:r w:rsidR="003426D7" w:rsidRPr="003426D7">
        <w:rPr>
          <w:rFonts w:cs="Arial"/>
        </w:rPr>
        <w:t>(+5</w:t>
      </w:r>
      <w:r w:rsidRPr="003426D7">
        <w:rPr>
          <w:rFonts w:cs="Arial"/>
        </w:rPr>
        <w:t>,6%), en Pologne (+</w:t>
      </w:r>
      <w:r w:rsidR="003426D7" w:rsidRPr="003426D7">
        <w:rPr>
          <w:rFonts w:cs="Arial"/>
        </w:rPr>
        <w:t>5,8</w:t>
      </w:r>
      <w:r w:rsidRPr="003426D7">
        <w:rPr>
          <w:rFonts w:cs="Arial"/>
        </w:rPr>
        <w:t>%) et au</w:t>
      </w:r>
      <w:r w:rsidR="003426D7" w:rsidRPr="003426D7">
        <w:rPr>
          <w:rFonts w:cs="Arial"/>
        </w:rPr>
        <w:t>x</w:t>
      </w:r>
      <w:r w:rsidRPr="003426D7">
        <w:rPr>
          <w:rFonts w:cs="Arial"/>
        </w:rPr>
        <w:t xml:space="preserve"> </w:t>
      </w:r>
      <w:r w:rsidR="003426D7" w:rsidRPr="003426D7">
        <w:rPr>
          <w:rFonts w:cs="Arial"/>
        </w:rPr>
        <w:t>Pays-Bas</w:t>
      </w:r>
      <w:r w:rsidRPr="003426D7">
        <w:rPr>
          <w:rFonts w:cs="Arial"/>
        </w:rPr>
        <w:t xml:space="preserve"> (+</w:t>
      </w:r>
      <w:r w:rsidR="003426D7" w:rsidRPr="003426D7">
        <w:rPr>
          <w:rFonts w:cs="Arial"/>
        </w:rPr>
        <w:t>9,2</w:t>
      </w:r>
      <w:r w:rsidRPr="003426D7">
        <w:rPr>
          <w:rFonts w:cs="Arial"/>
        </w:rPr>
        <w:t>%)</w:t>
      </w:r>
      <w:r w:rsidRPr="00060904">
        <w:rPr>
          <w:rFonts w:cs="Arial"/>
        </w:rPr>
        <w:t>.</w:t>
      </w:r>
      <w:r w:rsidR="003426D7">
        <w:rPr>
          <w:rFonts w:cs="Arial"/>
        </w:rPr>
        <w:t xml:space="preserve"> L’Allemagne a connu une très forte saison estivale, puis un mois de septembre en net repli, lié à l’absence de grands salons biennaux, comme anticipé. Au global, le chiffre d’affaires d’HotelInvest en Allemagne progresse </w:t>
      </w:r>
      <w:r w:rsidR="00D920B3">
        <w:rPr>
          <w:rFonts w:cs="Arial"/>
        </w:rPr>
        <w:t>de +1,7% à pcc sur le trimestre</w:t>
      </w:r>
      <w:r w:rsidR="00C35D75">
        <w:rPr>
          <w:rFonts w:cs="Arial"/>
        </w:rPr>
        <w:t>.</w:t>
      </w:r>
    </w:p>
    <w:p w14:paraId="2DFF9086" w14:textId="484E9B9A" w:rsidR="00795034" w:rsidRDefault="00795034" w:rsidP="00F449F3">
      <w:pPr>
        <w:spacing w:before="120" w:line="240" w:lineRule="auto"/>
        <w:jc w:val="both"/>
        <w:rPr>
          <w:rFonts w:cs="Arial"/>
        </w:rPr>
      </w:pPr>
      <w:r w:rsidRPr="00F449F3">
        <w:rPr>
          <w:rFonts w:cs="Arial"/>
        </w:rPr>
        <w:t xml:space="preserve">La zone </w:t>
      </w:r>
      <w:r w:rsidRPr="00F449F3">
        <w:rPr>
          <w:rFonts w:cs="Arial"/>
          <w:b/>
        </w:rPr>
        <w:t>MMEA</w:t>
      </w:r>
      <w:r w:rsidRPr="00F449F3">
        <w:rPr>
          <w:rFonts w:cs="Arial"/>
        </w:rPr>
        <w:t xml:space="preserve"> (</w:t>
      </w:r>
      <w:r w:rsidR="007A1A3D" w:rsidRPr="00F449F3">
        <w:rPr>
          <w:rFonts w:cs="Arial"/>
        </w:rPr>
        <w:t xml:space="preserve">CA </w:t>
      </w:r>
      <w:r w:rsidRPr="00F449F3">
        <w:rPr>
          <w:rFonts w:cs="Arial"/>
        </w:rPr>
        <w:t>+8,4%</w:t>
      </w:r>
      <w:r w:rsidR="007A1A3D" w:rsidRPr="00F449F3">
        <w:rPr>
          <w:rFonts w:cs="Arial"/>
        </w:rPr>
        <w:t xml:space="preserve"> à pcc</w:t>
      </w:r>
      <w:r w:rsidRPr="00F449F3">
        <w:rPr>
          <w:rFonts w:cs="Arial"/>
        </w:rPr>
        <w:t>) reste très bien orientée</w:t>
      </w:r>
      <w:r w:rsidR="00C628FE" w:rsidRPr="00F449F3">
        <w:rPr>
          <w:rFonts w:cs="Arial"/>
        </w:rPr>
        <w:t xml:space="preserve">, </w:t>
      </w:r>
      <w:r w:rsidRPr="00F449F3">
        <w:rPr>
          <w:rFonts w:cs="Arial"/>
        </w:rPr>
        <w:t>grâce la poursuite de la reprise des pays de l’Europe du Sud, notamment l</w:t>
      </w:r>
      <w:r w:rsidR="00C628FE" w:rsidRPr="00F449F3">
        <w:rPr>
          <w:rFonts w:cs="Arial"/>
        </w:rPr>
        <w:t xml:space="preserve">e Portugal </w:t>
      </w:r>
      <w:r w:rsidRPr="00F449F3">
        <w:rPr>
          <w:rFonts w:cs="Arial"/>
        </w:rPr>
        <w:t>(+</w:t>
      </w:r>
      <w:r w:rsidR="00C628FE" w:rsidRPr="00F449F3">
        <w:rPr>
          <w:rFonts w:cs="Arial"/>
        </w:rPr>
        <w:t>8,6</w:t>
      </w:r>
      <w:r w:rsidRPr="00F449F3">
        <w:rPr>
          <w:rFonts w:cs="Arial"/>
        </w:rPr>
        <w:t>%) et l’Italie (+</w:t>
      </w:r>
      <w:r w:rsidR="00C628FE" w:rsidRPr="00F449F3">
        <w:rPr>
          <w:rFonts w:cs="Arial"/>
        </w:rPr>
        <w:t>11</w:t>
      </w:r>
      <w:r w:rsidRPr="00F449F3">
        <w:rPr>
          <w:rFonts w:cs="Arial"/>
        </w:rPr>
        <w:t>,0%).</w:t>
      </w:r>
      <w:r w:rsidR="00C628FE" w:rsidRPr="00F449F3">
        <w:rPr>
          <w:rFonts w:cs="Arial"/>
        </w:rPr>
        <w:t xml:space="preserve"> L’</w:t>
      </w:r>
      <w:r w:rsidR="007A1A3D" w:rsidRPr="00F449F3">
        <w:rPr>
          <w:rFonts w:cs="Arial"/>
        </w:rPr>
        <w:t>Espagne est également en progression</w:t>
      </w:r>
      <w:r w:rsidR="00F449F3">
        <w:rPr>
          <w:rFonts w:cs="Arial"/>
        </w:rPr>
        <w:t xml:space="preserve"> (+5</w:t>
      </w:r>
      <w:r w:rsidR="00757304">
        <w:rPr>
          <w:rFonts w:cs="Arial"/>
        </w:rPr>
        <w:t>,</w:t>
      </w:r>
      <w:r w:rsidR="00F449F3">
        <w:rPr>
          <w:rFonts w:cs="Arial"/>
        </w:rPr>
        <w:t>1%), malgré des bases de comparaison élevées pour l’été 2014.</w:t>
      </w:r>
      <w:r w:rsidR="007A1A3D">
        <w:rPr>
          <w:rFonts w:cs="Arial"/>
        </w:rPr>
        <w:t xml:space="preserve"> </w:t>
      </w:r>
    </w:p>
    <w:p w14:paraId="405825DE" w14:textId="6EFE463B" w:rsidR="00795034" w:rsidRDefault="00795034" w:rsidP="00795034">
      <w:pPr>
        <w:spacing w:before="120" w:line="240" w:lineRule="auto"/>
        <w:jc w:val="both"/>
        <w:rPr>
          <w:rFonts w:cs="Arial"/>
        </w:rPr>
      </w:pPr>
      <w:r w:rsidRPr="00060904">
        <w:rPr>
          <w:rFonts w:cs="Arial"/>
        </w:rPr>
        <w:t xml:space="preserve">L’activité d’HotelInvest en </w:t>
      </w:r>
      <w:r w:rsidRPr="007F04A6">
        <w:rPr>
          <w:rFonts w:cs="Arial"/>
          <w:b/>
        </w:rPr>
        <w:t>Asie-Pacifique</w:t>
      </w:r>
      <w:r w:rsidRPr="00060904">
        <w:rPr>
          <w:rFonts w:cs="Arial"/>
        </w:rPr>
        <w:t xml:space="preserve"> présente une hausse de chiffre d’affaires à périmètre et change constant de 2,</w:t>
      </w:r>
      <w:r>
        <w:rPr>
          <w:rFonts w:cs="Arial"/>
        </w:rPr>
        <w:t>2</w:t>
      </w:r>
      <w:r w:rsidRPr="00060904">
        <w:rPr>
          <w:rFonts w:cs="Arial"/>
        </w:rPr>
        <w:t xml:space="preserve">%, </w:t>
      </w:r>
      <w:r w:rsidR="00F449F3">
        <w:rPr>
          <w:rFonts w:cs="Arial"/>
        </w:rPr>
        <w:t>avec de bo</w:t>
      </w:r>
      <w:r w:rsidR="006158E9">
        <w:rPr>
          <w:rFonts w:cs="Arial"/>
        </w:rPr>
        <w:t>nnes performances en Australie</w:t>
      </w:r>
      <w:r w:rsidR="00F449F3" w:rsidRPr="00F449F3">
        <w:rPr>
          <w:rFonts w:cs="Arial"/>
        </w:rPr>
        <w:t xml:space="preserve"> et une tendance toujours négative en </w:t>
      </w:r>
      <w:r w:rsidRPr="00F449F3">
        <w:rPr>
          <w:rFonts w:cs="Arial"/>
        </w:rPr>
        <w:t>Chine (-2,</w:t>
      </w:r>
      <w:r w:rsidR="00F449F3" w:rsidRPr="00F449F3">
        <w:rPr>
          <w:rFonts w:cs="Arial"/>
        </w:rPr>
        <w:t>2</w:t>
      </w:r>
      <w:r w:rsidRPr="00F449F3">
        <w:rPr>
          <w:rFonts w:cs="Arial"/>
        </w:rPr>
        <w:t>% au T</w:t>
      </w:r>
      <w:r w:rsidR="00F449F3" w:rsidRPr="00F449F3">
        <w:rPr>
          <w:rFonts w:cs="Arial"/>
        </w:rPr>
        <w:t>3)</w:t>
      </w:r>
      <w:r w:rsidRPr="00060904">
        <w:rPr>
          <w:rFonts w:cs="Arial"/>
        </w:rPr>
        <w:t>.</w:t>
      </w:r>
    </w:p>
    <w:p w14:paraId="10B1908A" w14:textId="35D0B96B" w:rsidR="00795034" w:rsidRDefault="00795034" w:rsidP="00795034">
      <w:pPr>
        <w:spacing w:before="120" w:line="240" w:lineRule="auto"/>
        <w:jc w:val="both"/>
        <w:rPr>
          <w:rFonts w:cs="Arial"/>
        </w:rPr>
      </w:pPr>
      <w:r>
        <w:rPr>
          <w:rFonts w:cs="Arial"/>
        </w:rPr>
        <w:t xml:space="preserve">Enfin, le </w:t>
      </w:r>
      <w:r w:rsidRPr="00F449F3">
        <w:rPr>
          <w:rFonts w:cs="Arial"/>
        </w:rPr>
        <w:t xml:space="preserve">chiffre d’affaires de la zone </w:t>
      </w:r>
      <w:r w:rsidRPr="00F449F3">
        <w:rPr>
          <w:rFonts w:cs="Arial"/>
          <w:b/>
        </w:rPr>
        <w:t>Amériques</w:t>
      </w:r>
      <w:r w:rsidRPr="00F449F3">
        <w:rPr>
          <w:rFonts w:cs="Arial"/>
        </w:rPr>
        <w:t xml:space="preserve"> est en </w:t>
      </w:r>
      <w:r w:rsidR="00F449F3">
        <w:rPr>
          <w:rFonts w:cs="Arial"/>
        </w:rPr>
        <w:t>net</w:t>
      </w:r>
      <w:r w:rsidR="001C35B3">
        <w:rPr>
          <w:rFonts w:cs="Arial"/>
        </w:rPr>
        <w:t xml:space="preserve"> repli de 7,7</w:t>
      </w:r>
      <w:r w:rsidRPr="00F449F3">
        <w:rPr>
          <w:rFonts w:cs="Arial"/>
        </w:rPr>
        <w:t>% par rapport au 3</w:t>
      </w:r>
      <w:r w:rsidRPr="00F449F3">
        <w:rPr>
          <w:rFonts w:cs="Arial"/>
          <w:vertAlign w:val="superscript"/>
        </w:rPr>
        <w:t>ème</w:t>
      </w:r>
      <w:r w:rsidRPr="00F449F3">
        <w:rPr>
          <w:rFonts w:cs="Arial"/>
        </w:rPr>
        <w:t xml:space="preserve"> trimestre 2014 reflétant la conjoncture économique très difficile du Brésil (</w:t>
      </w:r>
      <w:r w:rsidR="00F449F3" w:rsidRPr="00F449F3">
        <w:rPr>
          <w:rFonts w:cs="Arial"/>
        </w:rPr>
        <w:t xml:space="preserve">CA </w:t>
      </w:r>
      <w:r w:rsidRPr="00F449F3">
        <w:rPr>
          <w:rFonts w:cs="Arial"/>
        </w:rPr>
        <w:t>à -1</w:t>
      </w:r>
      <w:r w:rsidR="00F449F3" w:rsidRPr="00F449F3">
        <w:rPr>
          <w:rFonts w:cs="Arial"/>
        </w:rPr>
        <w:t>2</w:t>
      </w:r>
      <w:r w:rsidRPr="00F449F3">
        <w:rPr>
          <w:rFonts w:cs="Arial"/>
        </w:rPr>
        <w:t>,</w:t>
      </w:r>
      <w:r w:rsidR="00F449F3" w:rsidRPr="00F449F3">
        <w:rPr>
          <w:rFonts w:cs="Arial"/>
        </w:rPr>
        <w:t>5</w:t>
      </w:r>
      <w:r w:rsidRPr="00F449F3">
        <w:rPr>
          <w:rFonts w:cs="Arial"/>
        </w:rPr>
        <w:t>%)</w:t>
      </w:r>
      <w:r w:rsidR="00F449F3">
        <w:rPr>
          <w:rFonts w:cs="Arial"/>
        </w:rPr>
        <w:t>, dans un contexte global d’inflation forte dans les principaux pays sud-américains.</w:t>
      </w:r>
      <w:r>
        <w:rPr>
          <w:rFonts w:cs="Arial"/>
        </w:rPr>
        <w:t xml:space="preserve"> </w:t>
      </w:r>
    </w:p>
    <w:p w14:paraId="70AB406A" w14:textId="5DB16012" w:rsidR="00795034" w:rsidRPr="00060904" w:rsidRDefault="00795034" w:rsidP="00795034">
      <w:pPr>
        <w:spacing w:before="120" w:line="240" w:lineRule="auto"/>
        <w:jc w:val="both"/>
        <w:rPr>
          <w:rFonts w:cs="Arial"/>
        </w:rPr>
      </w:pPr>
      <w:r>
        <w:rPr>
          <w:rFonts w:cs="Arial"/>
        </w:rPr>
        <w:t>A fin septembre</w:t>
      </w:r>
      <w:r w:rsidRPr="00060904">
        <w:rPr>
          <w:rFonts w:cs="Arial"/>
        </w:rPr>
        <w:t xml:space="preserve"> 2015, le portefeuille d’HotelInvest compte 1 3</w:t>
      </w:r>
      <w:r>
        <w:rPr>
          <w:rFonts w:cs="Arial"/>
        </w:rPr>
        <w:t xml:space="preserve">27 </w:t>
      </w:r>
      <w:r w:rsidR="00757304">
        <w:rPr>
          <w:rFonts w:cs="Arial"/>
        </w:rPr>
        <w:t xml:space="preserve">hôtels, dont 58% en Europe, </w:t>
      </w:r>
      <w:r w:rsidR="00757304" w:rsidRPr="00D27DAD">
        <w:rPr>
          <w:rFonts w:cs="Arial"/>
        </w:rPr>
        <w:t>et 9</w:t>
      </w:r>
      <w:r w:rsidRPr="00D27DAD">
        <w:rPr>
          <w:rFonts w:cs="Arial"/>
        </w:rPr>
        <w:t>4% sur</w:t>
      </w:r>
      <w:r w:rsidRPr="00060904">
        <w:rPr>
          <w:rFonts w:cs="Arial"/>
        </w:rPr>
        <w:t xml:space="preserve"> les segments </w:t>
      </w:r>
      <w:r w:rsidR="00191CF0">
        <w:rPr>
          <w:rFonts w:cs="Arial"/>
        </w:rPr>
        <w:t>é</w:t>
      </w:r>
      <w:r w:rsidRPr="00060904">
        <w:rPr>
          <w:rFonts w:cs="Arial"/>
        </w:rPr>
        <w:t xml:space="preserve">conomique et </w:t>
      </w:r>
      <w:r w:rsidR="00191CF0">
        <w:rPr>
          <w:rFonts w:cs="Arial"/>
        </w:rPr>
        <w:t>m</w:t>
      </w:r>
      <w:r w:rsidRPr="00060904">
        <w:rPr>
          <w:rFonts w:cs="Arial"/>
        </w:rPr>
        <w:t xml:space="preserve">ilieu de </w:t>
      </w:r>
      <w:r w:rsidR="00191CF0">
        <w:rPr>
          <w:rFonts w:cs="Arial"/>
        </w:rPr>
        <w:t>g</w:t>
      </w:r>
      <w:r w:rsidRPr="00060904">
        <w:rPr>
          <w:rFonts w:cs="Arial"/>
        </w:rPr>
        <w:t>amme.</w:t>
      </w:r>
      <w:r w:rsidR="00F449F3">
        <w:rPr>
          <w:rFonts w:cs="Arial"/>
        </w:rPr>
        <w:t xml:space="preserve"> Depuis le début de l’année, </w:t>
      </w:r>
      <w:r w:rsidR="00A9776D">
        <w:rPr>
          <w:rFonts w:cs="Arial"/>
        </w:rPr>
        <w:t>75</w:t>
      </w:r>
      <w:r w:rsidR="00F449F3">
        <w:rPr>
          <w:rFonts w:cs="Arial"/>
        </w:rPr>
        <w:t xml:space="preserve"> hôtels ont été res</w:t>
      </w:r>
      <w:r w:rsidR="00E21D66">
        <w:rPr>
          <w:rFonts w:cs="Arial"/>
        </w:rPr>
        <w:t>tructurés par HotelInvest, incluant le portefeuille de 29 établissements en Allemagne et aux Pays-Bas, cédés le 30 septembre dernier.</w:t>
      </w:r>
    </w:p>
    <w:p w14:paraId="0702BE46" w14:textId="77777777" w:rsidR="00795034" w:rsidRDefault="00795034" w:rsidP="00060904">
      <w:pPr>
        <w:jc w:val="both"/>
        <w:rPr>
          <w:b/>
          <w:color w:val="7030A0"/>
          <w:sz w:val="24"/>
          <w:szCs w:val="24"/>
        </w:rPr>
      </w:pPr>
    </w:p>
    <w:p w14:paraId="5C456E7A" w14:textId="77777777" w:rsidR="007A1A3D" w:rsidRDefault="007A1A3D">
      <w:pPr>
        <w:tabs>
          <w:tab w:val="clear" w:pos="9266"/>
        </w:tabs>
        <w:spacing w:line="240" w:lineRule="auto"/>
        <w:ind w:left="0" w:right="0"/>
        <w:rPr>
          <w:b/>
          <w:color w:val="7030A0"/>
          <w:sz w:val="24"/>
          <w:szCs w:val="24"/>
        </w:rPr>
      </w:pPr>
      <w:r>
        <w:rPr>
          <w:b/>
          <w:color w:val="7030A0"/>
          <w:sz w:val="24"/>
          <w:szCs w:val="24"/>
        </w:rPr>
        <w:br w:type="page"/>
      </w:r>
    </w:p>
    <w:p w14:paraId="73CB122C" w14:textId="12BB145F" w:rsidR="00060904" w:rsidRPr="00912396" w:rsidRDefault="003A5551" w:rsidP="00060904">
      <w:pPr>
        <w:jc w:val="both"/>
        <w:rPr>
          <w:b/>
          <w:color w:val="E6A500" w:themeColor="accent2"/>
          <w:sz w:val="24"/>
          <w:szCs w:val="24"/>
        </w:rPr>
      </w:pPr>
      <w:r w:rsidRPr="00912396">
        <w:rPr>
          <w:b/>
          <w:color w:val="E6A500" w:themeColor="accent2"/>
          <w:sz w:val="24"/>
          <w:szCs w:val="24"/>
        </w:rPr>
        <w:lastRenderedPageBreak/>
        <w:t>HotelServices : 3</w:t>
      </w:r>
      <w:r w:rsidR="00060904" w:rsidRPr="00912396">
        <w:rPr>
          <w:b/>
          <w:color w:val="E6A500" w:themeColor="accent2"/>
          <w:sz w:val="24"/>
          <w:szCs w:val="24"/>
          <w:vertAlign w:val="superscript"/>
        </w:rPr>
        <w:t>ème</w:t>
      </w:r>
      <w:r w:rsidR="00912396">
        <w:rPr>
          <w:b/>
          <w:color w:val="E6A500" w:themeColor="accent2"/>
          <w:sz w:val="24"/>
          <w:szCs w:val="24"/>
        </w:rPr>
        <w:t xml:space="preserve"> </w:t>
      </w:r>
      <w:r w:rsidR="00060904" w:rsidRPr="00912396">
        <w:rPr>
          <w:b/>
          <w:color w:val="E6A500" w:themeColor="accent2"/>
          <w:sz w:val="24"/>
          <w:szCs w:val="24"/>
        </w:rPr>
        <w:t xml:space="preserve">trimestre en hausse de </w:t>
      </w:r>
      <w:r w:rsidR="00EF3B66" w:rsidRPr="00912396">
        <w:rPr>
          <w:b/>
          <w:color w:val="E6A500" w:themeColor="accent2"/>
          <w:sz w:val="24"/>
          <w:szCs w:val="24"/>
        </w:rPr>
        <w:t>8</w:t>
      </w:r>
      <w:r w:rsidR="00A54C94" w:rsidRPr="00912396">
        <w:rPr>
          <w:b/>
          <w:color w:val="E6A500" w:themeColor="accent2"/>
          <w:sz w:val="24"/>
          <w:szCs w:val="24"/>
        </w:rPr>
        <w:t>,</w:t>
      </w:r>
      <w:r w:rsidR="00EF3B66" w:rsidRPr="00912396">
        <w:rPr>
          <w:b/>
          <w:color w:val="E6A500" w:themeColor="accent2"/>
          <w:sz w:val="24"/>
          <w:szCs w:val="24"/>
        </w:rPr>
        <w:t>4</w:t>
      </w:r>
      <w:r w:rsidR="00060904" w:rsidRPr="00912396">
        <w:rPr>
          <w:b/>
          <w:color w:val="E6A500" w:themeColor="accent2"/>
          <w:sz w:val="24"/>
          <w:szCs w:val="24"/>
        </w:rPr>
        <w:t>% à données comparables</w:t>
      </w:r>
      <w:r w:rsidR="00060904" w:rsidRPr="00912396">
        <w:rPr>
          <w:b/>
          <w:color w:val="E6A500" w:themeColor="accent2"/>
          <w:sz w:val="24"/>
          <w:szCs w:val="24"/>
          <w:vertAlign w:val="superscript"/>
        </w:rPr>
        <w:footnoteReference w:id="1"/>
      </w:r>
      <w:r w:rsidR="00060904" w:rsidRPr="00912396">
        <w:rPr>
          <w:b/>
          <w:color w:val="E6A500" w:themeColor="accent2"/>
          <w:sz w:val="24"/>
          <w:szCs w:val="24"/>
        </w:rPr>
        <w:t xml:space="preserve"> à </w:t>
      </w:r>
      <w:r w:rsidR="00626E6F" w:rsidRPr="00912396">
        <w:rPr>
          <w:b/>
          <w:color w:val="E6A500" w:themeColor="accent2"/>
          <w:sz w:val="24"/>
          <w:szCs w:val="24"/>
        </w:rPr>
        <w:t>3</w:t>
      </w:r>
      <w:r w:rsidR="003B3674" w:rsidRPr="00912396">
        <w:rPr>
          <w:b/>
          <w:color w:val="E6A500" w:themeColor="accent2"/>
          <w:sz w:val="24"/>
          <w:szCs w:val="24"/>
        </w:rPr>
        <w:t>56</w:t>
      </w:r>
      <w:r w:rsidR="00060904" w:rsidRPr="00912396">
        <w:rPr>
          <w:b/>
          <w:color w:val="E6A500" w:themeColor="accent2"/>
          <w:sz w:val="24"/>
          <w:szCs w:val="24"/>
        </w:rPr>
        <w:t xml:space="preserve"> millions d’euros</w:t>
      </w:r>
    </w:p>
    <w:p w14:paraId="50852748" w14:textId="77777777" w:rsidR="00060904" w:rsidRPr="00407B21" w:rsidRDefault="00060904" w:rsidP="00407B21">
      <w:pPr>
        <w:spacing w:line="240" w:lineRule="auto"/>
        <w:jc w:val="both"/>
        <w:rPr>
          <w:bCs/>
          <w:sz w:val="20"/>
        </w:rPr>
      </w:pPr>
    </w:p>
    <w:p w14:paraId="1F40D464" w14:textId="65D7A5BD" w:rsidR="00060904" w:rsidRPr="00060904" w:rsidRDefault="00060904" w:rsidP="00060904">
      <w:pPr>
        <w:spacing w:before="120" w:line="240" w:lineRule="auto"/>
        <w:jc w:val="both"/>
        <w:rPr>
          <w:rFonts w:cs="Arial"/>
        </w:rPr>
      </w:pPr>
      <w:r w:rsidRPr="00060904">
        <w:rPr>
          <w:rFonts w:cs="Arial"/>
        </w:rPr>
        <w:t xml:space="preserve">Le </w:t>
      </w:r>
      <w:r w:rsidRPr="007F04A6">
        <w:rPr>
          <w:rFonts w:cs="Arial"/>
          <w:b/>
        </w:rPr>
        <w:t>volume d’activité</w:t>
      </w:r>
      <w:r w:rsidR="00B93487">
        <w:rPr>
          <w:rFonts w:cs="Arial"/>
          <w:b/>
          <w:vertAlign w:val="superscript"/>
        </w:rPr>
        <w:t>2</w:t>
      </w:r>
      <w:r w:rsidRPr="00060904">
        <w:rPr>
          <w:rFonts w:cs="Arial"/>
        </w:rPr>
        <w:t xml:space="preserve"> d’HotelServices </w:t>
      </w:r>
      <w:r w:rsidR="00BB0046">
        <w:rPr>
          <w:rFonts w:cs="Arial"/>
        </w:rPr>
        <w:t>a</w:t>
      </w:r>
      <w:r w:rsidR="003B3674">
        <w:rPr>
          <w:rFonts w:cs="Arial"/>
        </w:rPr>
        <w:t>u 3</w:t>
      </w:r>
      <w:r w:rsidRPr="007F04A6">
        <w:rPr>
          <w:rFonts w:cs="Arial"/>
          <w:vertAlign w:val="superscript"/>
        </w:rPr>
        <w:t>ème</w:t>
      </w:r>
      <w:r w:rsidR="007F04A6">
        <w:rPr>
          <w:rFonts w:cs="Arial"/>
        </w:rPr>
        <w:t xml:space="preserve"> </w:t>
      </w:r>
      <w:r w:rsidRPr="00060904">
        <w:rPr>
          <w:rFonts w:cs="Arial"/>
        </w:rPr>
        <w:t>trimestre s’élève à 3,</w:t>
      </w:r>
      <w:r w:rsidR="00EF3B66">
        <w:rPr>
          <w:rFonts w:cs="Arial"/>
        </w:rPr>
        <w:t>4</w:t>
      </w:r>
      <w:r w:rsidRPr="00060904">
        <w:rPr>
          <w:rFonts w:cs="Arial"/>
        </w:rPr>
        <w:t xml:space="preserve"> milliards d’euros, </w:t>
      </w:r>
      <w:r w:rsidRPr="007F04A6">
        <w:rPr>
          <w:rFonts w:cs="Arial"/>
          <w:b/>
        </w:rPr>
        <w:t xml:space="preserve">en </w:t>
      </w:r>
      <w:r w:rsidR="00795034">
        <w:rPr>
          <w:rFonts w:cs="Arial"/>
          <w:b/>
        </w:rPr>
        <w:t>progression</w:t>
      </w:r>
      <w:r w:rsidR="001C35B3">
        <w:rPr>
          <w:rFonts w:cs="Arial"/>
          <w:b/>
        </w:rPr>
        <w:t xml:space="preserve"> de 6,2</w:t>
      </w:r>
      <w:r w:rsidRPr="007F04A6">
        <w:rPr>
          <w:rFonts w:cs="Arial"/>
          <w:b/>
        </w:rPr>
        <w:t>%</w:t>
      </w:r>
      <w:r w:rsidRPr="00060904">
        <w:rPr>
          <w:rFonts w:cs="Arial"/>
        </w:rPr>
        <w:t xml:space="preserve"> hors effet de </w:t>
      </w:r>
      <w:r w:rsidRPr="00EF3B66">
        <w:rPr>
          <w:rFonts w:cs="Arial"/>
        </w:rPr>
        <w:t xml:space="preserve">change, grâce aux effets cumulés </w:t>
      </w:r>
      <w:r w:rsidR="007818AC">
        <w:rPr>
          <w:rFonts w:cs="Arial"/>
        </w:rPr>
        <w:t>des ouvertures</w:t>
      </w:r>
      <w:r w:rsidR="00BB0046" w:rsidRPr="00EF3B66">
        <w:rPr>
          <w:rFonts w:cs="Arial"/>
        </w:rPr>
        <w:t>,</w:t>
      </w:r>
      <w:r w:rsidRPr="00EF3B66">
        <w:rPr>
          <w:rFonts w:cs="Arial"/>
        </w:rPr>
        <w:t xml:space="preserve"> </w:t>
      </w:r>
      <w:r w:rsidR="00261C5E" w:rsidRPr="00EF3B66">
        <w:rPr>
          <w:rFonts w:cs="Arial"/>
        </w:rPr>
        <w:t>et de la croissance des RevPAR.</w:t>
      </w:r>
    </w:p>
    <w:p w14:paraId="7686B785" w14:textId="2E822392" w:rsidR="007D70DC" w:rsidRPr="007D70DC" w:rsidRDefault="00060904" w:rsidP="007D70DC">
      <w:pPr>
        <w:spacing w:before="120" w:line="240" w:lineRule="auto"/>
        <w:jc w:val="both"/>
        <w:rPr>
          <w:rFonts w:cs="Arial"/>
        </w:rPr>
      </w:pPr>
      <w:r w:rsidRPr="00060904">
        <w:rPr>
          <w:rFonts w:cs="Arial"/>
        </w:rPr>
        <w:t xml:space="preserve">Le </w:t>
      </w:r>
      <w:r w:rsidRPr="007D70DC">
        <w:rPr>
          <w:rFonts w:cs="Arial"/>
        </w:rPr>
        <w:t>chi</w:t>
      </w:r>
      <w:r w:rsidR="007D70DC" w:rsidRPr="007D70DC">
        <w:rPr>
          <w:rFonts w:cs="Arial"/>
        </w:rPr>
        <w:t xml:space="preserve">ffre d’affaires progresse de </w:t>
      </w:r>
      <w:r w:rsidR="00EF3B66">
        <w:rPr>
          <w:rFonts w:cs="Arial"/>
        </w:rPr>
        <w:t>8</w:t>
      </w:r>
      <w:r w:rsidR="00A54C94" w:rsidRPr="007D70DC">
        <w:rPr>
          <w:rFonts w:cs="Arial"/>
        </w:rPr>
        <w:t>,</w:t>
      </w:r>
      <w:r w:rsidR="00EF3B66">
        <w:rPr>
          <w:rFonts w:cs="Arial"/>
        </w:rPr>
        <w:t>4</w:t>
      </w:r>
      <w:r w:rsidRPr="007D70DC">
        <w:rPr>
          <w:rFonts w:cs="Arial"/>
        </w:rPr>
        <w:t>%</w:t>
      </w:r>
      <w:r w:rsidRPr="00060904">
        <w:rPr>
          <w:rFonts w:cs="Arial"/>
        </w:rPr>
        <w:t xml:space="preserve"> par rapport au </w:t>
      </w:r>
      <w:r w:rsidR="007D70DC">
        <w:rPr>
          <w:rFonts w:cs="Arial"/>
        </w:rPr>
        <w:t>3</w:t>
      </w:r>
      <w:r w:rsidRPr="00EF3B66">
        <w:rPr>
          <w:rFonts w:cs="Arial"/>
          <w:vertAlign w:val="superscript"/>
        </w:rPr>
        <w:t>ème</w:t>
      </w:r>
      <w:r w:rsidR="00EF3B66">
        <w:rPr>
          <w:rFonts w:cs="Arial"/>
        </w:rPr>
        <w:t xml:space="preserve"> </w:t>
      </w:r>
      <w:r w:rsidRPr="00060904">
        <w:rPr>
          <w:rFonts w:cs="Arial"/>
        </w:rPr>
        <w:t xml:space="preserve">trimestre 2014 à données comparables, avec des </w:t>
      </w:r>
      <w:r w:rsidR="00BB0046">
        <w:rPr>
          <w:rFonts w:cs="Arial"/>
        </w:rPr>
        <w:t>hausses</w:t>
      </w:r>
      <w:r w:rsidRPr="00060904">
        <w:rPr>
          <w:rFonts w:cs="Arial"/>
        </w:rPr>
        <w:t xml:space="preserve"> </w:t>
      </w:r>
      <w:r w:rsidR="007D70DC">
        <w:rPr>
          <w:rFonts w:cs="Arial"/>
        </w:rPr>
        <w:t>très nettes</w:t>
      </w:r>
      <w:r w:rsidRPr="00060904">
        <w:rPr>
          <w:rFonts w:cs="Arial"/>
        </w:rPr>
        <w:t xml:space="preserve"> sur </w:t>
      </w:r>
      <w:r w:rsidR="007D70DC" w:rsidRPr="007D70DC">
        <w:rPr>
          <w:rFonts w:cs="Arial"/>
        </w:rPr>
        <w:t>l’ensemble des marchés : Europe hors France et Méditerranée (NCEE</w:t>
      </w:r>
      <w:r w:rsidR="00DC601C">
        <w:rPr>
          <w:rFonts w:cs="Arial"/>
        </w:rPr>
        <w:t> ;</w:t>
      </w:r>
      <w:r w:rsidR="007D70DC" w:rsidRPr="007D70DC">
        <w:rPr>
          <w:rFonts w:cs="Arial"/>
        </w:rPr>
        <w:t xml:space="preserve"> +10,</w:t>
      </w:r>
      <w:r w:rsidR="00EF3B66">
        <w:rPr>
          <w:rFonts w:cs="Arial"/>
        </w:rPr>
        <w:t>8</w:t>
      </w:r>
      <w:r w:rsidR="007D70DC" w:rsidRPr="007D70DC">
        <w:rPr>
          <w:rFonts w:cs="Arial"/>
        </w:rPr>
        <w:t>%), Méditerranée-Moyen-Orient-Afrique (MMEA : +1</w:t>
      </w:r>
      <w:r w:rsidR="00EF3B66">
        <w:rPr>
          <w:rFonts w:cs="Arial"/>
        </w:rPr>
        <w:t>8</w:t>
      </w:r>
      <w:r w:rsidR="007D70DC" w:rsidRPr="007D70DC">
        <w:rPr>
          <w:rFonts w:cs="Arial"/>
        </w:rPr>
        <w:t>,1%), Asie-Pacifique (+7,1%), France (+5,9%)</w:t>
      </w:r>
      <w:r w:rsidR="00DC601C">
        <w:rPr>
          <w:rFonts w:cs="Arial"/>
        </w:rPr>
        <w:t>. Seule la zone Am</w:t>
      </w:r>
      <w:r w:rsidR="00EF3B66">
        <w:rPr>
          <w:rFonts w:cs="Arial"/>
        </w:rPr>
        <w:t xml:space="preserve">ériques </w:t>
      </w:r>
      <w:r w:rsidR="00DC601C">
        <w:rPr>
          <w:rFonts w:cs="Arial"/>
        </w:rPr>
        <w:t xml:space="preserve">présente un chiffre d’affaires en repli </w:t>
      </w:r>
      <w:r w:rsidR="00EF3B66">
        <w:rPr>
          <w:rFonts w:cs="Arial"/>
        </w:rPr>
        <w:t>(</w:t>
      </w:r>
      <w:r w:rsidR="00DC601C">
        <w:rPr>
          <w:rFonts w:cs="Arial"/>
        </w:rPr>
        <w:t xml:space="preserve">de </w:t>
      </w:r>
      <w:r w:rsidR="00EF3B66">
        <w:rPr>
          <w:rFonts w:cs="Arial"/>
        </w:rPr>
        <w:t>-6</w:t>
      </w:r>
      <w:r w:rsidR="007D70DC" w:rsidRPr="007D70DC">
        <w:rPr>
          <w:rFonts w:cs="Arial"/>
        </w:rPr>
        <w:t>,</w:t>
      </w:r>
      <w:r w:rsidR="00EF3B66">
        <w:rPr>
          <w:rFonts w:cs="Arial"/>
        </w:rPr>
        <w:t>8</w:t>
      </w:r>
      <w:r w:rsidR="007D70DC" w:rsidRPr="007D70DC">
        <w:rPr>
          <w:rFonts w:cs="Arial"/>
        </w:rPr>
        <w:t>%)</w:t>
      </w:r>
      <w:r w:rsidR="00DC601C">
        <w:rPr>
          <w:rFonts w:cs="Arial"/>
        </w:rPr>
        <w:t xml:space="preserve">, sous l’effet </w:t>
      </w:r>
      <w:r w:rsidR="005F3AF8">
        <w:rPr>
          <w:rFonts w:cs="Arial"/>
        </w:rPr>
        <w:t xml:space="preserve">du fort recul </w:t>
      </w:r>
      <w:r w:rsidR="00DC601C">
        <w:rPr>
          <w:rFonts w:cs="Arial"/>
        </w:rPr>
        <w:t xml:space="preserve">de </w:t>
      </w:r>
      <w:r w:rsidR="007D70DC">
        <w:rPr>
          <w:rFonts w:cs="Arial"/>
        </w:rPr>
        <w:t xml:space="preserve">l’activité </w:t>
      </w:r>
      <w:r w:rsidR="00DC601C">
        <w:rPr>
          <w:rFonts w:cs="Arial"/>
        </w:rPr>
        <w:t xml:space="preserve">au </w:t>
      </w:r>
      <w:r w:rsidR="007D70DC" w:rsidRPr="007D70DC">
        <w:rPr>
          <w:rFonts w:cs="Arial"/>
        </w:rPr>
        <w:t>Brésil</w:t>
      </w:r>
      <w:r w:rsidR="00DC601C">
        <w:rPr>
          <w:rFonts w:cs="Arial"/>
        </w:rPr>
        <w:t xml:space="preserve"> (-16,5%)</w:t>
      </w:r>
      <w:r w:rsidR="007D70DC" w:rsidRPr="007D70DC">
        <w:rPr>
          <w:rFonts w:cs="Arial"/>
        </w:rPr>
        <w:t>.</w:t>
      </w:r>
    </w:p>
    <w:p w14:paraId="31DD4D2E" w14:textId="614C638D" w:rsidR="00A6133F" w:rsidRDefault="00060904" w:rsidP="00626E6F">
      <w:pPr>
        <w:spacing w:before="120" w:line="240" w:lineRule="auto"/>
        <w:jc w:val="both"/>
        <w:rPr>
          <w:rFonts w:cs="Arial"/>
        </w:rPr>
      </w:pPr>
      <w:r w:rsidRPr="00060904">
        <w:rPr>
          <w:rFonts w:cs="Arial"/>
        </w:rPr>
        <w:t xml:space="preserve">Les redevances versées par HotelInvest à HotelServices ont atteint </w:t>
      </w:r>
      <w:r w:rsidRPr="007F04A6">
        <w:rPr>
          <w:rFonts w:cs="Arial"/>
          <w:b/>
        </w:rPr>
        <w:t>1</w:t>
      </w:r>
      <w:r w:rsidR="007D70DC">
        <w:rPr>
          <w:rFonts w:cs="Arial"/>
          <w:b/>
        </w:rPr>
        <w:t>4</w:t>
      </w:r>
      <w:r w:rsidR="00EF3B66">
        <w:rPr>
          <w:rFonts w:cs="Arial"/>
          <w:b/>
        </w:rPr>
        <w:t>7</w:t>
      </w:r>
      <w:r w:rsidRPr="007F04A6">
        <w:rPr>
          <w:rFonts w:cs="Arial"/>
          <w:b/>
        </w:rPr>
        <w:t xml:space="preserve"> millions d’euros</w:t>
      </w:r>
      <w:r w:rsidRPr="00060904">
        <w:rPr>
          <w:rFonts w:cs="Arial"/>
        </w:rPr>
        <w:t xml:space="preserve"> au </w:t>
      </w:r>
      <w:r w:rsidR="007D70DC">
        <w:rPr>
          <w:rFonts w:cs="Arial"/>
        </w:rPr>
        <w:t>3</w:t>
      </w:r>
      <w:r w:rsidRPr="007F04A6">
        <w:rPr>
          <w:rFonts w:cs="Arial"/>
          <w:vertAlign w:val="superscript"/>
        </w:rPr>
        <w:t>ème</w:t>
      </w:r>
      <w:r w:rsidR="007F04A6">
        <w:rPr>
          <w:rFonts w:cs="Arial"/>
        </w:rPr>
        <w:t xml:space="preserve"> </w:t>
      </w:r>
      <w:r w:rsidRPr="00060904">
        <w:rPr>
          <w:rFonts w:cs="Arial"/>
        </w:rPr>
        <w:t>trimestre, soit 4</w:t>
      </w:r>
      <w:r w:rsidR="00F27A71">
        <w:rPr>
          <w:rFonts w:cs="Arial"/>
        </w:rPr>
        <w:t>1</w:t>
      </w:r>
      <w:r w:rsidRPr="00060904">
        <w:rPr>
          <w:rFonts w:cs="Arial"/>
        </w:rPr>
        <w:t>% des revenus d’HotelServices sur la période.</w:t>
      </w:r>
    </w:p>
    <w:p w14:paraId="40256BEF" w14:textId="18E62048" w:rsidR="00795034" w:rsidRPr="00060904" w:rsidRDefault="005F3AF8" w:rsidP="00795034">
      <w:pPr>
        <w:spacing w:before="120" w:line="240" w:lineRule="auto"/>
        <w:jc w:val="both"/>
        <w:rPr>
          <w:rFonts w:cs="Arial"/>
        </w:rPr>
      </w:pPr>
      <w:r>
        <w:rPr>
          <w:rFonts w:cs="Arial"/>
        </w:rPr>
        <w:t>Sur le trimestre</w:t>
      </w:r>
      <w:r w:rsidR="00795034" w:rsidRPr="00060904">
        <w:rPr>
          <w:rFonts w:cs="Arial"/>
        </w:rPr>
        <w:t>, l</w:t>
      </w:r>
      <w:r w:rsidR="00795034">
        <w:rPr>
          <w:rFonts w:cs="Arial"/>
        </w:rPr>
        <w:t xml:space="preserve">e groupe a </w:t>
      </w:r>
      <w:r w:rsidR="00F91BA5">
        <w:rPr>
          <w:rFonts w:cs="Arial"/>
        </w:rPr>
        <w:t>ouvert</w:t>
      </w:r>
      <w:r w:rsidR="00795034">
        <w:rPr>
          <w:rFonts w:cs="Arial"/>
        </w:rPr>
        <w:t xml:space="preserve"> 55 hôtels et </w:t>
      </w:r>
      <w:r w:rsidR="00795034" w:rsidRPr="00D27DAD">
        <w:rPr>
          <w:rFonts w:cs="Arial"/>
        </w:rPr>
        <w:t>8 4</w:t>
      </w:r>
      <w:r w:rsidR="00757304" w:rsidRPr="00D27DAD">
        <w:rPr>
          <w:rFonts w:cs="Arial"/>
        </w:rPr>
        <w:t>43</w:t>
      </w:r>
      <w:r w:rsidR="00795034" w:rsidRPr="00D27DAD">
        <w:rPr>
          <w:rFonts w:cs="Arial"/>
        </w:rPr>
        <w:t xml:space="preserve"> chambres</w:t>
      </w:r>
      <w:r w:rsidR="00795034" w:rsidRPr="003B3674">
        <w:rPr>
          <w:rFonts w:cs="Arial"/>
        </w:rPr>
        <w:t xml:space="preserve">, à </w:t>
      </w:r>
      <w:r w:rsidR="00795034">
        <w:rPr>
          <w:rFonts w:cs="Arial"/>
        </w:rPr>
        <w:t>82</w:t>
      </w:r>
      <w:r w:rsidR="00795034" w:rsidRPr="003B3674">
        <w:rPr>
          <w:rFonts w:cs="Arial"/>
        </w:rPr>
        <w:t>% en contrats de franchise et de management.</w:t>
      </w:r>
      <w:r w:rsidR="00795034" w:rsidRPr="00060904">
        <w:rPr>
          <w:rFonts w:cs="Arial"/>
        </w:rPr>
        <w:t xml:space="preserve"> </w:t>
      </w:r>
      <w:r w:rsidR="00795034" w:rsidRPr="00795034">
        <w:rPr>
          <w:rFonts w:cs="Arial"/>
          <w:b/>
        </w:rPr>
        <w:t>A fin septembre 2015, le parc d’HotelServices s’établit à 3 815 hôtels et 500 366 chambres</w:t>
      </w:r>
      <w:r w:rsidR="00795034" w:rsidRPr="00060904">
        <w:rPr>
          <w:rFonts w:cs="Arial"/>
        </w:rPr>
        <w:t xml:space="preserve">, </w:t>
      </w:r>
      <w:r w:rsidR="00795034">
        <w:rPr>
          <w:rFonts w:cs="Arial"/>
        </w:rPr>
        <w:t>exploitées à</w:t>
      </w:r>
      <w:r w:rsidR="00795034" w:rsidRPr="00060904">
        <w:rPr>
          <w:rFonts w:cs="Arial"/>
        </w:rPr>
        <w:t xml:space="preserve"> </w:t>
      </w:r>
      <w:r w:rsidR="00715C47">
        <w:rPr>
          <w:rFonts w:cs="Arial"/>
        </w:rPr>
        <w:t>29</w:t>
      </w:r>
      <w:r w:rsidR="00795034" w:rsidRPr="00060904">
        <w:rPr>
          <w:rFonts w:cs="Arial"/>
        </w:rPr>
        <w:t xml:space="preserve">% en franchise, et </w:t>
      </w:r>
      <w:r w:rsidR="00715C47">
        <w:rPr>
          <w:rFonts w:cs="Arial"/>
        </w:rPr>
        <w:t>à 71</w:t>
      </w:r>
      <w:r w:rsidR="00795034" w:rsidRPr="00060904">
        <w:rPr>
          <w:rFonts w:cs="Arial"/>
        </w:rPr>
        <w:t xml:space="preserve">% en contrats de gestion </w:t>
      </w:r>
      <w:r w:rsidR="00795034">
        <w:rPr>
          <w:rFonts w:cs="Arial"/>
        </w:rPr>
        <w:t>(</w:t>
      </w:r>
      <w:r w:rsidR="00795034" w:rsidRPr="00060904">
        <w:rPr>
          <w:rFonts w:cs="Arial"/>
        </w:rPr>
        <w:t>incluant le portefeuille d’HotelInvest</w:t>
      </w:r>
      <w:r w:rsidR="00795034">
        <w:rPr>
          <w:rFonts w:cs="Arial"/>
        </w:rPr>
        <w:t>)</w:t>
      </w:r>
      <w:r w:rsidR="00795034" w:rsidRPr="00060904">
        <w:rPr>
          <w:rFonts w:cs="Arial"/>
        </w:rPr>
        <w:t>.</w:t>
      </w:r>
    </w:p>
    <w:p w14:paraId="6C53539F" w14:textId="77777777" w:rsidR="00E9653A" w:rsidRDefault="00E9653A" w:rsidP="00626E6F">
      <w:pPr>
        <w:spacing w:before="120" w:line="240" w:lineRule="auto"/>
        <w:jc w:val="both"/>
        <w:rPr>
          <w:rFonts w:cs="Arial"/>
        </w:rPr>
      </w:pPr>
    </w:p>
    <w:p w14:paraId="351C94DD" w14:textId="285F352D" w:rsidR="00FE1D06" w:rsidRPr="0086666F" w:rsidRDefault="00FE1D06" w:rsidP="00FE1D06">
      <w:pPr>
        <w:jc w:val="both"/>
        <w:rPr>
          <w:b/>
          <w:color w:val="E6A500" w:themeColor="accent2"/>
          <w:sz w:val="24"/>
          <w:szCs w:val="24"/>
        </w:rPr>
      </w:pPr>
      <w:r w:rsidRPr="0086666F">
        <w:rPr>
          <w:b/>
          <w:color w:val="E6A500" w:themeColor="accent2"/>
          <w:sz w:val="24"/>
          <w:szCs w:val="24"/>
        </w:rPr>
        <w:t>Focus géogra</w:t>
      </w:r>
      <w:r w:rsidR="003C5F42" w:rsidRPr="0086666F">
        <w:rPr>
          <w:b/>
          <w:color w:val="E6A500" w:themeColor="accent2"/>
          <w:sz w:val="24"/>
          <w:szCs w:val="24"/>
        </w:rPr>
        <w:t>phique sur les marchés clés au 3</w:t>
      </w:r>
      <w:r w:rsidR="003C5F42" w:rsidRPr="00EF3B66">
        <w:rPr>
          <w:b/>
          <w:color w:val="E6A500" w:themeColor="accent2"/>
          <w:sz w:val="24"/>
          <w:szCs w:val="24"/>
          <w:vertAlign w:val="superscript"/>
        </w:rPr>
        <w:t>ème</w:t>
      </w:r>
      <w:r w:rsidR="00EF3B66">
        <w:rPr>
          <w:b/>
          <w:color w:val="E6A500" w:themeColor="accent2"/>
          <w:sz w:val="24"/>
          <w:szCs w:val="24"/>
        </w:rPr>
        <w:t xml:space="preserve"> </w:t>
      </w:r>
      <w:r w:rsidRPr="0086666F">
        <w:rPr>
          <w:b/>
          <w:color w:val="E6A500" w:themeColor="accent2"/>
          <w:sz w:val="24"/>
          <w:szCs w:val="24"/>
        </w:rPr>
        <w:t>trimestre 2015</w:t>
      </w:r>
    </w:p>
    <w:p w14:paraId="2487AB58" w14:textId="77777777" w:rsidR="00FE1D06" w:rsidRPr="0086666F" w:rsidRDefault="00FE1D06" w:rsidP="0086666F">
      <w:pPr>
        <w:spacing w:line="240" w:lineRule="auto"/>
        <w:jc w:val="both"/>
        <w:rPr>
          <w:b/>
          <w:bCs/>
          <w:color w:val="0F2F7E"/>
          <w:sz w:val="14"/>
        </w:rPr>
      </w:pPr>
    </w:p>
    <w:p w14:paraId="03C50645" w14:textId="2D10F736" w:rsidR="00FE1D06" w:rsidRPr="005F3AF8" w:rsidRDefault="005F3AF8" w:rsidP="00022E5A">
      <w:pPr>
        <w:spacing w:before="120" w:line="240" w:lineRule="auto"/>
        <w:jc w:val="both"/>
        <w:rPr>
          <w:rFonts w:cs="Arial"/>
        </w:rPr>
      </w:pPr>
      <w:r w:rsidRPr="005F3AF8">
        <w:rPr>
          <w:rFonts w:cs="Arial"/>
          <w:b/>
        </w:rPr>
        <w:t>Hormis en France, l</w:t>
      </w:r>
      <w:r w:rsidR="00FE1D06" w:rsidRPr="005F3AF8">
        <w:rPr>
          <w:rFonts w:cs="Arial"/>
          <w:b/>
        </w:rPr>
        <w:t xml:space="preserve">es performances réalisées au </w:t>
      </w:r>
      <w:r w:rsidR="003C5F42" w:rsidRPr="005F3AF8">
        <w:rPr>
          <w:rFonts w:cs="Arial"/>
          <w:b/>
        </w:rPr>
        <w:t>3</w:t>
      </w:r>
      <w:r w:rsidR="003C5F42" w:rsidRPr="005F3AF8">
        <w:rPr>
          <w:rFonts w:cs="Arial"/>
          <w:b/>
          <w:vertAlign w:val="superscript"/>
        </w:rPr>
        <w:t>ème</w:t>
      </w:r>
      <w:r w:rsidR="003C5F42" w:rsidRPr="005F3AF8">
        <w:rPr>
          <w:rFonts w:cs="Arial"/>
          <w:b/>
        </w:rPr>
        <w:t xml:space="preserve"> </w:t>
      </w:r>
      <w:r w:rsidR="00FE1D06" w:rsidRPr="005F3AF8">
        <w:rPr>
          <w:rFonts w:cs="Arial"/>
          <w:b/>
        </w:rPr>
        <w:t xml:space="preserve">trimestre </w:t>
      </w:r>
      <w:r w:rsidRPr="005F3AF8">
        <w:rPr>
          <w:rFonts w:cs="Arial"/>
          <w:b/>
        </w:rPr>
        <w:t xml:space="preserve">dans les principaux marchés du Groupe </w:t>
      </w:r>
      <w:r w:rsidR="00FE1D06" w:rsidRPr="005F3AF8">
        <w:rPr>
          <w:rFonts w:cs="Arial"/>
          <w:b/>
        </w:rPr>
        <w:t>sont solides</w:t>
      </w:r>
      <w:r w:rsidR="00FE1D06" w:rsidRPr="005F3AF8">
        <w:rPr>
          <w:rFonts w:cs="Arial"/>
        </w:rPr>
        <w:t xml:space="preserve">, </w:t>
      </w:r>
      <w:r w:rsidRPr="005F3AF8">
        <w:rPr>
          <w:rFonts w:cs="Arial"/>
        </w:rPr>
        <w:t>avec</w:t>
      </w:r>
      <w:r w:rsidR="00FE1D06" w:rsidRPr="005F3AF8">
        <w:rPr>
          <w:rFonts w:cs="Arial"/>
        </w:rPr>
        <w:t xml:space="preserve"> des croissances de RevPAR satisfaisantes, </w:t>
      </w:r>
      <w:r w:rsidRPr="005F3AF8">
        <w:rPr>
          <w:rFonts w:cs="Arial"/>
        </w:rPr>
        <w:t xml:space="preserve">grâce </w:t>
      </w:r>
      <w:r w:rsidR="00FE1D06" w:rsidRPr="005F3AF8">
        <w:rPr>
          <w:rFonts w:cs="Arial"/>
        </w:rPr>
        <w:t>à la fois à la demande et aux prix.</w:t>
      </w:r>
    </w:p>
    <w:p w14:paraId="5D6B1DA6" w14:textId="28FA3717" w:rsidR="00022E5A" w:rsidRPr="00BD3023" w:rsidRDefault="00FE1D06" w:rsidP="00022E5A">
      <w:pPr>
        <w:spacing w:before="120" w:line="240" w:lineRule="auto"/>
        <w:jc w:val="both"/>
        <w:rPr>
          <w:rFonts w:cs="Arial"/>
          <w:sz w:val="2"/>
        </w:rPr>
      </w:pPr>
      <w:r w:rsidRPr="005F3AF8">
        <w:rPr>
          <w:rFonts w:cs="Arial"/>
        </w:rPr>
        <w:t xml:space="preserve">En </w:t>
      </w:r>
      <w:r w:rsidRPr="005F3AF8">
        <w:rPr>
          <w:rFonts w:cs="Arial"/>
          <w:b/>
        </w:rPr>
        <w:t>Allemagne</w:t>
      </w:r>
      <w:r w:rsidRPr="005F3AF8">
        <w:rPr>
          <w:rFonts w:cs="Arial"/>
        </w:rPr>
        <w:t xml:space="preserve">, l’activité au </w:t>
      </w:r>
      <w:r w:rsidR="005F3AF8" w:rsidRPr="005F3AF8">
        <w:rPr>
          <w:rFonts w:cs="Arial"/>
        </w:rPr>
        <w:t>3</w:t>
      </w:r>
      <w:r w:rsidR="004F5937" w:rsidRPr="004F5937">
        <w:rPr>
          <w:rFonts w:cs="Arial"/>
          <w:vertAlign w:val="superscript"/>
        </w:rPr>
        <w:t>ème</w:t>
      </w:r>
      <w:r w:rsidR="004F5937">
        <w:rPr>
          <w:rFonts w:cs="Arial"/>
        </w:rPr>
        <w:t xml:space="preserve"> </w:t>
      </w:r>
      <w:r w:rsidRPr="005F3AF8">
        <w:rPr>
          <w:rFonts w:cs="Arial"/>
        </w:rPr>
        <w:t xml:space="preserve">trimestre </w:t>
      </w:r>
      <w:r w:rsidR="005F3AF8" w:rsidRPr="005F3AF8">
        <w:rPr>
          <w:rFonts w:cs="Arial"/>
        </w:rPr>
        <w:t>r</w:t>
      </w:r>
      <w:r w:rsidRPr="005F3AF8">
        <w:rPr>
          <w:rFonts w:cs="Arial"/>
        </w:rPr>
        <w:t>est</w:t>
      </w:r>
      <w:r w:rsidR="005F3AF8" w:rsidRPr="005F3AF8">
        <w:rPr>
          <w:rFonts w:cs="Arial"/>
        </w:rPr>
        <w:t>e</w:t>
      </w:r>
      <w:r w:rsidRPr="005F3AF8">
        <w:rPr>
          <w:rFonts w:cs="Arial"/>
        </w:rPr>
        <w:t xml:space="preserve"> </w:t>
      </w:r>
      <w:r w:rsidR="005F3AF8" w:rsidRPr="005F3AF8">
        <w:rPr>
          <w:rFonts w:cs="Arial"/>
        </w:rPr>
        <w:t>solide</w:t>
      </w:r>
      <w:r w:rsidRPr="005F3AF8">
        <w:rPr>
          <w:rFonts w:cs="Arial"/>
        </w:rPr>
        <w:t xml:space="preserve"> (</w:t>
      </w:r>
      <w:r w:rsidR="005F3AF8" w:rsidRPr="005F3AF8">
        <w:rPr>
          <w:rFonts w:cs="Arial"/>
        </w:rPr>
        <w:t xml:space="preserve">CA en hausse de </w:t>
      </w:r>
      <w:r w:rsidRPr="005F3AF8">
        <w:rPr>
          <w:rFonts w:cs="Arial"/>
        </w:rPr>
        <w:t>+</w:t>
      </w:r>
      <w:r w:rsidR="005F3AF8" w:rsidRPr="005F3AF8">
        <w:rPr>
          <w:rFonts w:cs="Arial"/>
        </w:rPr>
        <w:t>2,4</w:t>
      </w:r>
      <w:r w:rsidRPr="005F3AF8">
        <w:rPr>
          <w:rFonts w:cs="Arial"/>
        </w:rPr>
        <w:t>%</w:t>
      </w:r>
      <w:r w:rsidR="005F3AF8" w:rsidRPr="005F3AF8">
        <w:rPr>
          <w:rFonts w:cs="Arial"/>
        </w:rPr>
        <w:t xml:space="preserve"> à pcc</w:t>
      </w:r>
      <w:r w:rsidRPr="005F3AF8">
        <w:rPr>
          <w:rFonts w:cs="Arial"/>
        </w:rPr>
        <w:t xml:space="preserve">), </w:t>
      </w:r>
      <w:r w:rsidR="005F3AF8" w:rsidRPr="005F3AF8">
        <w:rPr>
          <w:rFonts w:cs="Arial"/>
        </w:rPr>
        <w:t xml:space="preserve">grâce à une excellente saison estivale, et malgré un calendrier de foires et salons très défavorable en septembre qui a </w:t>
      </w:r>
      <w:r w:rsidR="005F3AF8">
        <w:rPr>
          <w:rFonts w:cs="Arial"/>
        </w:rPr>
        <w:t>entrainé une baisse du chiffre d’affaires mensuel de l’ordre de 7% par rapport à septembre 2014. Dans ce contexte, l</w:t>
      </w:r>
      <w:r w:rsidR="005F3AF8" w:rsidRPr="005F3AF8">
        <w:rPr>
          <w:rFonts w:cs="Arial"/>
        </w:rPr>
        <w:t>es chiffres d’affaires d’HotelInvest et d’HotelServices augmentent respectivement de 1,7% et de 9,0%</w:t>
      </w:r>
      <w:r w:rsidR="005F3AF8">
        <w:rPr>
          <w:rFonts w:cs="Arial"/>
        </w:rPr>
        <w:t xml:space="preserve"> </w:t>
      </w:r>
      <w:r w:rsidR="00087AE1">
        <w:rPr>
          <w:rFonts w:cs="Arial"/>
        </w:rPr>
        <w:t>à</w:t>
      </w:r>
      <w:r w:rsidR="005F3AF8">
        <w:rPr>
          <w:rFonts w:cs="Arial"/>
        </w:rPr>
        <w:t xml:space="preserve"> données comparables</w:t>
      </w:r>
      <w:r w:rsidR="005F3AF8" w:rsidRPr="005F3AF8">
        <w:rPr>
          <w:rFonts w:cs="Arial"/>
        </w:rPr>
        <w:t>.</w:t>
      </w:r>
      <w:r w:rsidR="005F3AF8">
        <w:rPr>
          <w:rFonts w:cs="Arial"/>
        </w:rPr>
        <w:t xml:space="preserve"> Le calendrier </w:t>
      </w:r>
      <w:r w:rsidR="005F3AF8" w:rsidRPr="00BD3023">
        <w:rPr>
          <w:rFonts w:cs="Arial"/>
        </w:rPr>
        <w:t>d’évènements sera plus porteur au 4</w:t>
      </w:r>
      <w:r w:rsidR="00757304" w:rsidRPr="00BD3023">
        <w:rPr>
          <w:rFonts w:cs="Arial"/>
          <w:vertAlign w:val="superscript"/>
        </w:rPr>
        <w:t xml:space="preserve">ème </w:t>
      </w:r>
      <w:r w:rsidR="005F3AF8" w:rsidRPr="00BD3023">
        <w:rPr>
          <w:rFonts w:cs="Arial"/>
        </w:rPr>
        <w:t>trimestre</w:t>
      </w:r>
      <w:r w:rsidR="00BD3023">
        <w:rPr>
          <w:rFonts w:cs="Arial"/>
        </w:rPr>
        <w:t>.</w:t>
      </w:r>
    </w:p>
    <w:p w14:paraId="0ADE8200" w14:textId="2DBDC1CD" w:rsidR="00FE1D06" w:rsidRPr="005F3AF8" w:rsidRDefault="00FE1D06" w:rsidP="00022E5A">
      <w:pPr>
        <w:spacing w:before="120" w:line="240" w:lineRule="auto"/>
        <w:jc w:val="both"/>
        <w:rPr>
          <w:rFonts w:cs="Arial"/>
        </w:rPr>
      </w:pPr>
      <w:r w:rsidRPr="005F3AF8">
        <w:rPr>
          <w:rFonts w:cs="Arial"/>
        </w:rPr>
        <w:t xml:space="preserve">Au </w:t>
      </w:r>
      <w:r w:rsidRPr="005F3AF8">
        <w:rPr>
          <w:rFonts w:cs="Arial"/>
          <w:b/>
        </w:rPr>
        <w:t>Royaume-Uni</w:t>
      </w:r>
      <w:r w:rsidRPr="005F3AF8">
        <w:rPr>
          <w:rFonts w:cs="Arial"/>
        </w:rPr>
        <w:t xml:space="preserve">, l’activité affiche une nouvelle fois une solide progression </w:t>
      </w:r>
      <w:r w:rsidR="005F3AF8">
        <w:rPr>
          <w:rFonts w:cs="Arial"/>
        </w:rPr>
        <w:t>au 3</w:t>
      </w:r>
      <w:r w:rsidR="004F5937" w:rsidRPr="004F5937">
        <w:rPr>
          <w:rFonts w:cs="Arial"/>
          <w:vertAlign w:val="superscript"/>
        </w:rPr>
        <w:t>ème</w:t>
      </w:r>
      <w:r w:rsidR="004F5937">
        <w:rPr>
          <w:rFonts w:cs="Arial"/>
        </w:rPr>
        <w:t xml:space="preserve"> </w:t>
      </w:r>
      <w:r w:rsidR="005F3AF8">
        <w:rPr>
          <w:rFonts w:cs="Arial"/>
        </w:rPr>
        <w:t>trimestre (+6,3</w:t>
      </w:r>
      <w:r w:rsidRPr="005F3AF8">
        <w:rPr>
          <w:rFonts w:cs="Arial"/>
        </w:rPr>
        <w:t xml:space="preserve">%). Les chiffres d’affaires d’HotelInvest et d’HotelServices augmentent de </w:t>
      </w:r>
      <w:r w:rsidR="005F3AF8">
        <w:rPr>
          <w:rFonts w:cs="Arial"/>
        </w:rPr>
        <w:t>5,6</w:t>
      </w:r>
      <w:r w:rsidRPr="005F3AF8">
        <w:rPr>
          <w:rFonts w:cs="Arial"/>
        </w:rPr>
        <w:t xml:space="preserve">% et de </w:t>
      </w:r>
      <w:r w:rsidR="005F3AF8">
        <w:rPr>
          <w:rFonts w:cs="Arial"/>
        </w:rPr>
        <w:t>10</w:t>
      </w:r>
      <w:r w:rsidRPr="005F3AF8">
        <w:rPr>
          <w:rFonts w:cs="Arial"/>
        </w:rPr>
        <w:t>,9% à périmètre et change constant</w:t>
      </w:r>
      <w:r w:rsidR="005F3AF8">
        <w:rPr>
          <w:rFonts w:cs="Arial"/>
        </w:rPr>
        <w:t>. Ces progressions sont liées à des niveaux de demande stables à très haut niveau (avec un taux d’occupation de 8</w:t>
      </w:r>
      <w:r w:rsidR="00C6386A">
        <w:rPr>
          <w:rFonts w:cs="Arial"/>
        </w:rPr>
        <w:t>7,9</w:t>
      </w:r>
      <w:r w:rsidR="005F3AF8">
        <w:rPr>
          <w:rFonts w:cs="Arial"/>
        </w:rPr>
        <w:t>% sur le trimestre</w:t>
      </w:r>
      <w:r w:rsidR="00C6386A">
        <w:rPr>
          <w:rFonts w:cs="Arial"/>
        </w:rPr>
        <w:t xml:space="preserve"> pour les hôtels en propriété, location et management</w:t>
      </w:r>
      <w:r w:rsidR="005F3AF8">
        <w:rPr>
          <w:rFonts w:cs="Arial"/>
        </w:rPr>
        <w:t>) permettant une optimisation des prix moyens (+5,3%</w:t>
      </w:r>
      <w:r w:rsidR="00C6386A">
        <w:rPr>
          <w:rFonts w:cs="Arial"/>
        </w:rPr>
        <w:t>) et du RevPAR (+5,1%).</w:t>
      </w:r>
    </w:p>
    <w:p w14:paraId="1C1388FB" w14:textId="007EDBD6" w:rsidR="00FE1D06" w:rsidRPr="00C6386A" w:rsidRDefault="00FE1D06" w:rsidP="00022E5A">
      <w:pPr>
        <w:spacing w:before="120" w:line="240" w:lineRule="auto"/>
        <w:jc w:val="both"/>
        <w:rPr>
          <w:rFonts w:cs="Arial"/>
        </w:rPr>
      </w:pPr>
      <w:r w:rsidRPr="00C6386A">
        <w:rPr>
          <w:rFonts w:cs="Arial"/>
        </w:rPr>
        <w:t xml:space="preserve">L’activité à Londres s’est stabilisée </w:t>
      </w:r>
      <w:r w:rsidR="00C6386A" w:rsidRPr="00C6386A">
        <w:rPr>
          <w:rFonts w:cs="Arial"/>
        </w:rPr>
        <w:t xml:space="preserve">durant l’été, avant d’accélérer </w:t>
      </w:r>
      <w:r w:rsidR="00C6386A">
        <w:rPr>
          <w:rFonts w:cs="Arial"/>
        </w:rPr>
        <w:t xml:space="preserve">de nouveau </w:t>
      </w:r>
      <w:r w:rsidR="00C6386A" w:rsidRPr="00C6386A">
        <w:rPr>
          <w:rFonts w:cs="Arial"/>
        </w:rPr>
        <w:t xml:space="preserve">en septembre, grâce notamment à la Coupe du Monde de Rugby. </w:t>
      </w:r>
      <w:r w:rsidRPr="00C6386A">
        <w:rPr>
          <w:rFonts w:cs="Arial"/>
        </w:rPr>
        <w:t xml:space="preserve">Les villes de </w:t>
      </w:r>
      <w:r w:rsidRPr="00C6386A">
        <w:rPr>
          <w:rFonts w:cs="Arial"/>
        </w:rPr>
        <w:lastRenderedPageBreak/>
        <w:t xml:space="preserve">province affichent des performances soutenues avec </w:t>
      </w:r>
      <w:r w:rsidR="00C6386A">
        <w:rPr>
          <w:rFonts w:cs="Arial"/>
        </w:rPr>
        <w:t>un</w:t>
      </w:r>
      <w:r w:rsidRPr="00C6386A">
        <w:rPr>
          <w:rFonts w:cs="Arial"/>
        </w:rPr>
        <w:t xml:space="preserve"> RevPAR en hausse de </w:t>
      </w:r>
      <w:r w:rsidR="00757304" w:rsidRPr="00D27DAD">
        <w:rPr>
          <w:rFonts w:cs="Arial"/>
        </w:rPr>
        <w:t>8</w:t>
      </w:r>
      <w:r w:rsidRPr="00D27DAD">
        <w:rPr>
          <w:rFonts w:cs="Arial"/>
        </w:rPr>
        <w:t>,</w:t>
      </w:r>
      <w:r w:rsidR="00757304" w:rsidRPr="00D27DAD">
        <w:rPr>
          <w:rFonts w:cs="Arial"/>
        </w:rPr>
        <w:t>0</w:t>
      </w:r>
      <w:r w:rsidRPr="00D27DAD">
        <w:rPr>
          <w:rFonts w:cs="Arial"/>
        </w:rPr>
        <w:t xml:space="preserve">% </w:t>
      </w:r>
      <w:r w:rsidR="00C6386A" w:rsidRPr="00D27DAD">
        <w:rPr>
          <w:rFonts w:cs="Arial"/>
        </w:rPr>
        <w:t>sur</w:t>
      </w:r>
      <w:r w:rsidR="00C6386A">
        <w:rPr>
          <w:rFonts w:cs="Arial"/>
        </w:rPr>
        <w:t xml:space="preserve"> le trimestre, tiré par l’amélioration des prix moyens.</w:t>
      </w:r>
    </w:p>
    <w:p w14:paraId="1519D8D4" w14:textId="77777777" w:rsidR="00022E5A" w:rsidRPr="002A092E" w:rsidRDefault="00022E5A" w:rsidP="00022E5A">
      <w:pPr>
        <w:spacing w:before="120" w:line="240" w:lineRule="auto"/>
        <w:jc w:val="both"/>
        <w:rPr>
          <w:rFonts w:cs="Arial"/>
          <w:sz w:val="2"/>
        </w:rPr>
      </w:pPr>
    </w:p>
    <w:p w14:paraId="00074653" w14:textId="11AC51D4" w:rsidR="001C2C28" w:rsidRPr="002A092E" w:rsidRDefault="00FE1D06" w:rsidP="00022E5A">
      <w:pPr>
        <w:spacing w:before="120" w:line="240" w:lineRule="auto"/>
        <w:jc w:val="both"/>
        <w:rPr>
          <w:rFonts w:cs="Arial"/>
        </w:rPr>
      </w:pPr>
      <w:r w:rsidRPr="002A092E">
        <w:rPr>
          <w:rFonts w:cs="Arial"/>
        </w:rPr>
        <w:t>L</w:t>
      </w:r>
      <w:r w:rsidR="001C35B3">
        <w:rPr>
          <w:rFonts w:cs="Arial"/>
        </w:rPr>
        <w:t>e repli de 6,7</w:t>
      </w:r>
      <w:r w:rsidR="001C2C28" w:rsidRPr="002A092E">
        <w:rPr>
          <w:rFonts w:cs="Arial"/>
        </w:rPr>
        <w:t>% à pcc de l</w:t>
      </w:r>
      <w:r w:rsidRPr="002A092E">
        <w:rPr>
          <w:rFonts w:cs="Arial"/>
        </w:rPr>
        <w:t xml:space="preserve">a zone </w:t>
      </w:r>
      <w:r w:rsidRPr="002A092E">
        <w:rPr>
          <w:rFonts w:cs="Arial"/>
          <w:b/>
        </w:rPr>
        <w:t>Amériques</w:t>
      </w:r>
      <w:r w:rsidRPr="002A092E">
        <w:rPr>
          <w:rFonts w:cs="Arial"/>
        </w:rPr>
        <w:t xml:space="preserve"> </w:t>
      </w:r>
      <w:r w:rsidR="001C2C28" w:rsidRPr="002A092E">
        <w:rPr>
          <w:rFonts w:cs="Arial"/>
        </w:rPr>
        <w:t xml:space="preserve">est exclusivement lié aux difficultés du Brésil. </w:t>
      </w:r>
      <w:r w:rsidR="00F91BA5">
        <w:rPr>
          <w:rFonts w:cs="Arial"/>
        </w:rPr>
        <w:t>L</w:t>
      </w:r>
      <w:r w:rsidR="001C2C28" w:rsidRPr="002A092E">
        <w:rPr>
          <w:rFonts w:cs="Arial"/>
        </w:rPr>
        <w:t xml:space="preserve">’ensemble des pays du littoral atlantique </w:t>
      </w:r>
      <w:r w:rsidR="00F91BA5">
        <w:rPr>
          <w:rFonts w:cs="Arial"/>
        </w:rPr>
        <w:t>connait</w:t>
      </w:r>
      <w:r w:rsidR="001C2C28" w:rsidRPr="002A092E">
        <w:rPr>
          <w:rFonts w:cs="Arial"/>
        </w:rPr>
        <w:t xml:space="preserve"> </w:t>
      </w:r>
      <w:r w:rsidR="00F91BA5">
        <w:rPr>
          <w:rFonts w:cs="Arial"/>
        </w:rPr>
        <w:t xml:space="preserve">toutefois </w:t>
      </w:r>
      <w:r w:rsidR="001C2C28" w:rsidRPr="002A092E">
        <w:rPr>
          <w:rFonts w:cs="Arial"/>
        </w:rPr>
        <w:t xml:space="preserve">une inflation extrêmement forte, que les progressions de chiffre d’affaires (Argentine +18,5% notamment) ne parviennent pas à compenser. </w:t>
      </w:r>
      <w:r w:rsidR="002A092E" w:rsidRPr="002A092E">
        <w:rPr>
          <w:rFonts w:cs="Arial"/>
        </w:rPr>
        <w:t>A l’inverse, l’environnement reste porteur au Pérou (+9,1%</w:t>
      </w:r>
      <w:r w:rsidR="00087AE1">
        <w:rPr>
          <w:rFonts w:cs="Arial"/>
        </w:rPr>
        <w:t>)</w:t>
      </w:r>
      <w:r w:rsidR="002A092E" w:rsidRPr="002A092E">
        <w:rPr>
          <w:rFonts w:cs="Arial"/>
        </w:rPr>
        <w:t xml:space="preserve"> et au Chili (+11,7%).</w:t>
      </w:r>
    </w:p>
    <w:p w14:paraId="0249F8DC" w14:textId="7C6319B7" w:rsidR="00FE1D06" w:rsidRPr="00022E5A" w:rsidRDefault="002A092E" w:rsidP="00022E5A">
      <w:pPr>
        <w:spacing w:before="120" w:line="240" w:lineRule="auto"/>
        <w:jc w:val="both"/>
        <w:rPr>
          <w:rFonts w:cs="Arial"/>
        </w:rPr>
      </w:pPr>
      <w:r w:rsidRPr="002A092E">
        <w:rPr>
          <w:rFonts w:cs="Arial"/>
        </w:rPr>
        <w:t>Enfin, l</w:t>
      </w:r>
      <w:r w:rsidR="00FE1D06" w:rsidRPr="002A092E">
        <w:rPr>
          <w:rFonts w:cs="Arial"/>
        </w:rPr>
        <w:t xml:space="preserve">a zone </w:t>
      </w:r>
      <w:r w:rsidR="00FE1D06" w:rsidRPr="002A092E">
        <w:rPr>
          <w:rFonts w:cs="Arial"/>
          <w:b/>
        </w:rPr>
        <w:t>MMEA</w:t>
      </w:r>
      <w:r w:rsidR="00FE1D06" w:rsidRPr="002A092E">
        <w:rPr>
          <w:rFonts w:cs="Arial"/>
        </w:rPr>
        <w:t xml:space="preserve"> enregistre une performance très satisf</w:t>
      </w:r>
      <w:r w:rsidRPr="002A092E">
        <w:rPr>
          <w:rFonts w:cs="Arial"/>
        </w:rPr>
        <w:t>aisante (chiffre d’affaires : +10</w:t>
      </w:r>
      <w:r w:rsidR="00FE1D06" w:rsidRPr="002A092E">
        <w:rPr>
          <w:rFonts w:cs="Arial"/>
        </w:rPr>
        <w:t>,</w:t>
      </w:r>
      <w:r w:rsidRPr="002A092E">
        <w:rPr>
          <w:rFonts w:cs="Arial"/>
        </w:rPr>
        <w:t>0</w:t>
      </w:r>
      <w:r w:rsidR="00FE1D06" w:rsidRPr="002A092E">
        <w:rPr>
          <w:rFonts w:cs="Arial"/>
        </w:rPr>
        <w:t>%</w:t>
      </w:r>
      <w:r w:rsidRPr="002A092E">
        <w:rPr>
          <w:rFonts w:cs="Arial"/>
        </w:rPr>
        <w:t xml:space="preserve"> à pcc</w:t>
      </w:r>
      <w:r w:rsidR="00FE1D06" w:rsidRPr="002A092E">
        <w:rPr>
          <w:rFonts w:cs="Arial"/>
        </w:rPr>
        <w:t xml:space="preserve">) grâce notamment aux pays d’Europe du Sud </w:t>
      </w:r>
      <w:r w:rsidRPr="002A092E">
        <w:rPr>
          <w:rFonts w:cs="Arial"/>
        </w:rPr>
        <w:t xml:space="preserve">pour HotelInvest, mais également au </w:t>
      </w:r>
      <w:r w:rsidR="007818AC">
        <w:rPr>
          <w:rFonts w:cs="Arial"/>
        </w:rPr>
        <w:t>Moyen-</w:t>
      </w:r>
      <w:r w:rsidRPr="002A092E">
        <w:rPr>
          <w:rFonts w:cs="Arial"/>
        </w:rPr>
        <w:t xml:space="preserve">Orient pour ce qui concerne HotelServices, avec </w:t>
      </w:r>
      <w:r>
        <w:rPr>
          <w:rFonts w:cs="Arial"/>
        </w:rPr>
        <w:t>de très fortes croissances aux Emirats Arabes Unis (+40% à pcc) et en Arabie Saoudite (+14%), sous l’effet du développement rapide des marques du Groupe dans la région.</w:t>
      </w:r>
    </w:p>
    <w:p w14:paraId="6ADCBEE6" w14:textId="77777777" w:rsidR="00FE1D06" w:rsidRPr="00B066AD" w:rsidRDefault="00FE1D06" w:rsidP="00FE1D06">
      <w:pPr>
        <w:jc w:val="both"/>
        <w:rPr>
          <w:b/>
          <w:sz w:val="28"/>
        </w:rPr>
      </w:pPr>
    </w:p>
    <w:p w14:paraId="28058B73" w14:textId="3E1F82F9" w:rsidR="00FE1D06" w:rsidRDefault="00FE1D06" w:rsidP="0086666F">
      <w:pPr>
        <w:jc w:val="both"/>
        <w:rPr>
          <w:b/>
          <w:color w:val="E6A500" w:themeColor="accent2"/>
          <w:sz w:val="24"/>
          <w:szCs w:val="24"/>
        </w:rPr>
      </w:pPr>
      <w:r w:rsidRPr="00FE1D06">
        <w:rPr>
          <w:b/>
          <w:color w:val="E6A500" w:themeColor="accent2"/>
          <w:sz w:val="24"/>
          <w:szCs w:val="24"/>
        </w:rPr>
        <w:t xml:space="preserve">Les perspectives du Groupe </w:t>
      </w:r>
      <w:r w:rsidR="00CF0C1C">
        <w:rPr>
          <w:b/>
          <w:color w:val="E6A500" w:themeColor="accent2"/>
          <w:sz w:val="24"/>
          <w:szCs w:val="24"/>
        </w:rPr>
        <w:t>restent</w:t>
      </w:r>
      <w:r w:rsidRPr="00FE1D06">
        <w:rPr>
          <w:b/>
          <w:color w:val="E6A500" w:themeColor="accent2"/>
          <w:sz w:val="24"/>
          <w:szCs w:val="24"/>
        </w:rPr>
        <w:t xml:space="preserve"> favorables</w:t>
      </w:r>
      <w:r w:rsidR="005A5A0F">
        <w:rPr>
          <w:b/>
          <w:color w:val="E6A500" w:themeColor="accent2"/>
          <w:sz w:val="24"/>
          <w:szCs w:val="24"/>
        </w:rPr>
        <w:t xml:space="preserve"> </w:t>
      </w:r>
      <w:r w:rsidR="00CF0C1C">
        <w:rPr>
          <w:b/>
          <w:color w:val="E6A500" w:themeColor="accent2"/>
          <w:sz w:val="24"/>
          <w:szCs w:val="24"/>
        </w:rPr>
        <w:t xml:space="preserve"> </w:t>
      </w:r>
    </w:p>
    <w:p w14:paraId="5B8ED6CB" w14:textId="77777777" w:rsidR="0086666F" w:rsidRPr="0086666F" w:rsidRDefault="0086666F" w:rsidP="0086666F">
      <w:pPr>
        <w:pStyle w:val="Normal"/>
        <w:numPr>
          <w:ilvl w:val="0"/>
          <w:numId w:val="0"/>
        </w:numPr>
        <w:spacing w:line="240" w:lineRule="auto"/>
        <w:rPr>
          <w:sz w:val="14"/>
        </w:rPr>
      </w:pPr>
    </w:p>
    <w:p w14:paraId="0D0C8BC9" w14:textId="77777777" w:rsidR="00CF0C1C" w:rsidRDefault="002A092E" w:rsidP="0086666F">
      <w:pPr>
        <w:spacing w:before="120" w:line="240" w:lineRule="auto"/>
        <w:jc w:val="both"/>
        <w:rPr>
          <w:rFonts w:cs="Arial"/>
        </w:rPr>
      </w:pPr>
      <w:r>
        <w:rPr>
          <w:rFonts w:cs="Arial"/>
        </w:rPr>
        <w:t xml:space="preserve">Les performances réalisées au cours du troisième trimestre 2015 sont solides, et restent en ligne avec les tendances du premier semestre. </w:t>
      </w:r>
    </w:p>
    <w:p w14:paraId="118000E5" w14:textId="39F30275" w:rsidR="00331EF6" w:rsidRDefault="002A092E" w:rsidP="0086666F">
      <w:pPr>
        <w:spacing w:before="120" w:line="240" w:lineRule="auto"/>
        <w:jc w:val="both"/>
        <w:rPr>
          <w:rFonts w:cs="Arial"/>
        </w:rPr>
      </w:pPr>
      <w:r>
        <w:rPr>
          <w:rFonts w:cs="Arial"/>
        </w:rPr>
        <w:t>AccorHotels continue de bénéficier d’un bon momentum</w:t>
      </w:r>
      <w:r w:rsidR="00CF0C1C">
        <w:rPr>
          <w:rFonts w:cs="Arial"/>
        </w:rPr>
        <w:t xml:space="preserve"> global</w:t>
      </w:r>
      <w:r>
        <w:rPr>
          <w:rFonts w:cs="Arial"/>
        </w:rPr>
        <w:t xml:space="preserve">, avec des marchés très dynamiques comme le Royaume-Uni, l’Allemagne, le Benelux, l’Europe du Sud, l’Europe Centrale, le </w:t>
      </w:r>
      <w:r w:rsidR="007818AC">
        <w:rPr>
          <w:rFonts w:cs="Arial"/>
        </w:rPr>
        <w:t>Moyen</w:t>
      </w:r>
      <w:r>
        <w:rPr>
          <w:rFonts w:cs="Arial"/>
        </w:rPr>
        <w:t xml:space="preserve">-Orient, et une grande majorité de la zone Asie Pacifique. </w:t>
      </w:r>
    </w:p>
    <w:p w14:paraId="1C89DB2C" w14:textId="6E85F772" w:rsidR="00FE1D06" w:rsidRDefault="00331EF6" w:rsidP="0086666F">
      <w:pPr>
        <w:spacing w:before="120" w:line="240" w:lineRule="auto"/>
        <w:jc w:val="both"/>
        <w:rPr>
          <w:rFonts w:cs="Arial"/>
        </w:rPr>
      </w:pPr>
      <w:r>
        <w:rPr>
          <w:rFonts w:cs="Arial"/>
        </w:rPr>
        <w:t>L</w:t>
      </w:r>
      <w:r w:rsidR="002A092E">
        <w:rPr>
          <w:rFonts w:cs="Arial"/>
        </w:rPr>
        <w:t xml:space="preserve">’activité en France reste conditionnée par la faiblesse récurrente de l’économie locale, </w:t>
      </w:r>
      <w:r>
        <w:rPr>
          <w:rFonts w:cs="Arial"/>
        </w:rPr>
        <w:t>et par une baisse de l’attractivité de la destination suite aux événements de janvier et aux mesures de sécurité mises en place par les autorités (plan Vigipirate).</w:t>
      </w:r>
    </w:p>
    <w:p w14:paraId="0B009205" w14:textId="0C327CBA" w:rsidR="00331EF6" w:rsidRDefault="00331EF6" w:rsidP="0086666F">
      <w:pPr>
        <w:spacing w:before="120" w:line="240" w:lineRule="auto"/>
        <w:jc w:val="both"/>
        <w:rPr>
          <w:rFonts w:cs="Arial"/>
        </w:rPr>
      </w:pPr>
      <w:r>
        <w:rPr>
          <w:rFonts w:cs="Arial"/>
        </w:rPr>
        <w:t xml:space="preserve">Le principal point de vigilance reste la zone Amériques, et plus particulièrement le Brésil, où </w:t>
      </w:r>
      <w:r w:rsidR="00CF0C1C">
        <w:rPr>
          <w:rFonts w:cs="Arial"/>
        </w:rPr>
        <w:t>l’évolution négative des taux de change vient s’ajouter à un environnement politico-économique extrêmement difficile.</w:t>
      </w:r>
    </w:p>
    <w:p w14:paraId="3948E829" w14:textId="46CDA78E" w:rsidR="0086666F" w:rsidRPr="009D7124" w:rsidRDefault="00160DAA" w:rsidP="009D7124">
      <w:pPr>
        <w:spacing w:before="120" w:line="240" w:lineRule="auto"/>
        <w:jc w:val="both"/>
        <w:rPr>
          <w:rFonts w:cs="Arial"/>
        </w:rPr>
      </w:pPr>
      <w:r w:rsidRPr="0086666F">
        <w:rPr>
          <w:rFonts w:cs="Arial"/>
        </w:rPr>
        <w:t xml:space="preserve">Compte-tenu de ces éléments, </w:t>
      </w:r>
      <w:r w:rsidR="00CF0C1C">
        <w:rPr>
          <w:rFonts w:cs="Arial"/>
        </w:rPr>
        <w:t xml:space="preserve">et en ligne avec les indications données lors de la publication des résultats semestriels, </w:t>
      </w:r>
      <w:r w:rsidRPr="0086666F">
        <w:rPr>
          <w:rFonts w:cs="Arial"/>
        </w:rPr>
        <w:t xml:space="preserve">le Groupe anticipe un résultat d’exploitation pour l’année 2015 compris entre </w:t>
      </w:r>
      <w:r w:rsidR="00CF0C1C">
        <w:rPr>
          <w:rFonts w:cs="Arial"/>
          <w:b/>
        </w:rPr>
        <w:t>655</w:t>
      </w:r>
      <w:r w:rsidRPr="0086666F">
        <w:rPr>
          <w:rFonts w:cs="Arial"/>
          <w:b/>
        </w:rPr>
        <w:t xml:space="preserve"> millions d’euros et </w:t>
      </w:r>
      <w:r w:rsidR="00CF0C1C">
        <w:rPr>
          <w:rFonts w:cs="Arial"/>
          <w:b/>
        </w:rPr>
        <w:t>675</w:t>
      </w:r>
      <w:r w:rsidRPr="0086666F">
        <w:rPr>
          <w:rFonts w:cs="Arial"/>
          <w:b/>
        </w:rPr>
        <w:t xml:space="preserve"> millions d’euros</w:t>
      </w:r>
      <w:r w:rsidR="00CF0C1C">
        <w:rPr>
          <w:rFonts w:cs="Arial"/>
        </w:rPr>
        <w:t>, soit un resserrement de la fourchette communiquée en juillet dernier autour de l’hypothèse centrale.</w:t>
      </w:r>
    </w:p>
    <w:p w14:paraId="2AB4AEC5" w14:textId="77777777" w:rsidR="00CF0C1C" w:rsidRDefault="00CF0C1C" w:rsidP="00060904">
      <w:pPr>
        <w:pStyle w:val="Texteavecpuces"/>
        <w:numPr>
          <w:ilvl w:val="0"/>
          <w:numId w:val="0"/>
        </w:numPr>
        <w:spacing w:before="20" w:after="20" w:line="288" w:lineRule="auto"/>
        <w:jc w:val="center"/>
        <w:rPr>
          <w:rFonts w:cs="Arial"/>
          <w:noProof/>
          <w:color w:val="1F497D"/>
          <w:kern w:val="28"/>
          <w:sz w:val="24"/>
          <w:szCs w:val="24"/>
        </w:rPr>
      </w:pPr>
    </w:p>
    <w:p w14:paraId="6DFFCC17" w14:textId="77777777" w:rsidR="00060904" w:rsidRDefault="00060904" w:rsidP="00060904">
      <w:pPr>
        <w:pStyle w:val="Texteavecpuces"/>
        <w:numPr>
          <w:ilvl w:val="0"/>
          <w:numId w:val="0"/>
        </w:numPr>
        <w:spacing w:before="20" w:after="20" w:line="288" w:lineRule="auto"/>
        <w:jc w:val="center"/>
        <w:rPr>
          <w:rFonts w:cs="Arial"/>
          <w:noProof/>
          <w:color w:val="1F497D"/>
          <w:kern w:val="28"/>
          <w:sz w:val="24"/>
          <w:szCs w:val="24"/>
        </w:rPr>
      </w:pPr>
      <w:r w:rsidRPr="00756B9E">
        <w:rPr>
          <w:rFonts w:cs="Arial"/>
          <w:noProof/>
          <w:color w:val="1F497D"/>
          <w:kern w:val="28"/>
          <w:sz w:val="24"/>
          <w:szCs w:val="24"/>
        </w:rPr>
        <w:t>*</w:t>
      </w:r>
      <w:r>
        <w:rPr>
          <w:rFonts w:cs="Arial"/>
          <w:noProof/>
          <w:color w:val="1F497D"/>
          <w:kern w:val="28"/>
          <w:sz w:val="24"/>
          <w:szCs w:val="24"/>
        </w:rPr>
        <w:t xml:space="preserve"> </w:t>
      </w:r>
      <w:r w:rsidRPr="00756B9E">
        <w:rPr>
          <w:rFonts w:cs="Arial"/>
          <w:noProof/>
          <w:color w:val="1F497D"/>
          <w:kern w:val="28"/>
          <w:sz w:val="24"/>
          <w:szCs w:val="24"/>
        </w:rPr>
        <w:t>*</w:t>
      </w:r>
      <w:r>
        <w:rPr>
          <w:rFonts w:cs="Arial"/>
          <w:noProof/>
          <w:color w:val="1F497D"/>
          <w:kern w:val="28"/>
          <w:sz w:val="24"/>
          <w:szCs w:val="24"/>
        </w:rPr>
        <w:t xml:space="preserve"> </w:t>
      </w:r>
      <w:r w:rsidRPr="00756B9E">
        <w:rPr>
          <w:rFonts w:cs="Arial"/>
          <w:noProof/>
          <w:color w:val="1F497D"/>
          <w:kern w:val="28"/>
          <w:sz w:val="24"/>
          <w:szCs w:val="24"/>
        </w:rPr>
        <w:t>*</w:t>
      </w:r>
    </w:p>
    <w:p w14:paraId="5AA1C36F" w14:textId="77777777" w:rsidR="009D7124" w:rsidRPr="009D7124" w:rsidRDefault="009D7124" w:rsidP="00060904">
      <w:pPr>
        <w:pStyle w:val="Texteavecpuces"/>
        <w:numPr>
          <w:ilvl w:val="0"/>
          <w:numId w:val="0"/>
        </w:numPr>
        <w:spacing w:before="20" w:after="20" w:line="288" w:lineRule="auto"/>
        <w:jc w:val="center"/>
        <w:rPr>
          <w:rFonts w:cs="Arial"/>
          <w:noProof/>
          <w:color w:val="1F497D"/>
          <w:kern w:val="28"/>
          <w:sz w:val="8"/>
          <w:szCs w:val="24"/>
        </w:rPr>
      </w:pPr>
    </w:p>
    <w:p w14:paraId="2812CD3E" w14:textId="77777777" w:rsidR="00FE1D06" w:rsidRPr="00FE1D06" w:rsidRDefault="00FE1D06" w:rsidP="00FE1D06">
      <w:pPr>
        <w:jc w:val="both"/>
        <w:rPr>
          <w:b/>
          <w:color w:val="E6A500" w:themeColor="accent2"/>
          <w:sz w:val="24"/>
          <w:szCs w:val="24"/>
        </w:rPr>
      </w:pPr>
      <w:r w:rsidRPr="00FE1D06">
        <w:rPr>
          <w:b/>
          <w:color w:val="E6A500" w:themeColor="accent2"/>
          <w:sz w:val="24"/>
          <w:szCs w:val="24"/>
        </w:rPr>
        <w:t xml:space="preserve">Opérations et événements importants du </w:t>
      </w:r>
      <w:r>
        <w:rPr>
          <w:b/>
          <w:color w:val="E6A500" w:themeColor="accent2"/>
          <w:sz w:val="24"/>
          <w:szCs w:val="24"/>
        </w:rPr>
        <w:t>3</w:t>
      </w:r>
      <w:r w:rsidRPr="00FE1D06">
        <w:rPr>
          <w:b/>
          <w:color w:val="E6A500" w:themeColor="accent2"/>
          <w:sz w:val="24"/>
          <w:szCs w:val="24"/>
          <w:vertAlign w:val="superscript"/>
        </w:rPr>
        <w:t>ème</w:t>
      </w:r>
      <w:r>
        <w:rPr>
          <w:b/>
          <w:color w:val="E6A500" w:themeColor="accent2"/>
          <w:sz w:val="24"/>
          <w:szCs w:val="24"/>
        </w:rPr>
        <w:t xml:space="preserve"> </w:t>
      </w:r>
      <w:r w:rsidRPr="00FE1D06">
        <w:rPr>
          <w:b/>
          <w:color w:val="E6A500" w:themeColor="accent2"/>
          <w:sz w:val="24"/>
          <w:szCs w:val="24"/>
        </w:rPr>
        <w:t>trimestre 2015</w:t>
      </w:r>
    </w:p>
    <w:p w14:paraId="0E52F566" w14:textId="7DF301DD" w:rsidR="001A191B" w:rsidRDefault="001A191B" w:rsidP="001A191B">
      <w:pPr>
        <w:spacing w:before="120" w:line="240" w:lineRule="auto"/>
        <w:jc w:val="both"/>
        <w:rPr>
          <w:rFonts w:cs="Arial"/>
        </w:rPr>
      </w:pPr>
      <w:r w:rsidRPr="001A191B">
        <w:rPr>
          <w:rFonts w:cs="Arial"/>
          <w:b/>
        </w:rPr>
        <w:t>Le 3 juillet 2015</w:t>
      </w:r>
      <w:r>
        <w:rPr>
          <w:rFonts w:cs="Arial"/>
        </w:rPr>
        <w:t>, signature d’un partenariat avec le Groupe angolais AAA Activos pour l’ouverture de 50 hôtels en contrat de gestion d’ici à 2017.</w:t>
      </w:r>
    </w:p>
    <w:p w14:paraId="5AF4BD93" w14:textId="222029D3" w:rsidR="001A191B" w:rsidRDefault="001A191B" w:rsidP="001A191B">
      <w:pPr>
        <w:spacing w:before="120" w:line="240" w:lineRule="auto"/>
        <w:jc w:val="both"/>
        <w:rPr>
          <w:rFonts w:cs="Arial"/>
        </w:rPr>
      </w:pPr>
      <w:r>
        <w:rPr>
          <w:rFonts w:cs="Arial"/>
        </w:rPr>
        <w:t xml:space="preserve">Le </w:t>
      </w:r>
      <w:r w:rsidRPr="001A191B">
        <w:rPr>
          <w:rFonts w:cs="Arial"/>
          <w:b/>
        </w:rPr>
        <w:t>1</w:t>
      </w:r>
      <w:r w:rsidRPr="001A191B">
        <w:rPr>
          <w:rFonts w:cs="Arial"/>
          <w:b/>
          <w:vertAlign w:val="superscript"/>
        </w:rPr>
        <w:t>er</w:t>
      </w:r>
      <w:r w:rsidRPr="001A191B">
        <w:rPr>
          <w:rFonts w:cs="Arial"/>
          <w:b/>
        </w:rPr>
        <w:t xml:space="preserve"> septembre 2015</w:t>
      </w:r>
      <w:r>
        <w:rPr>
          <w:rFonts w:cs="Arial"/>
        </w:rPr>
        <w:t>, nomination d’Amir Nahai au poste de Directeur Général Groupe Food &amp; Beverage</w:t>
      </w:r>
    </w:p>
    <w:p w14:paraId="6D428850" w14:textId="48BB3B47" w:rsidR="001A191B" w:rsidRDefault="001A191B" w:rsidP="001A191B">
      <w:pPr>
        <w:spacing w:before="120" w:line="240" w:lineRule="auto"/>
        <w:jc w:val="both"/>
        <w:rPr>
          <w:rFonts w:cs="Arial"/>
        </w:rPr>
      </w:pPr>
      <w:r>
        <w:rPr>
          <w:rFonts w:cs="Arial"/>
        </w:rPr>
        <w:t xml:space="preserve">Le </w:t>
      </w:r>
      <w:r w:rsidRPr="001A191B">
        <w:rPr>
          <w:rFonts w:cs="Arial"/>
          <w:b/>
        </w:rPr>
        <w:t>3 septembre 2015</w:t>
      </w:r>
      <w:r>
        <w:rPr>
          <w:rFonts w:cs="Arial"/>
        </w:rPr>
        <w:t xml:space="preserve">, large succès du lancement d’une émission obligataire à 8 ans, d’un montant de 500 millions d’euros, assortie d’un coupon de 2,375%, suivi du rachat de deux obligations à maturité 2017 (coupon de 2,875%) et 2019 (coupon de 2,50%) pour un montant cumulé de 598 millions d’euros, annoncé le </w:t>
      </w:r>
      <w:r w:rsidRPr="001A191B">
        <w:rPr>
          <w:rFonts w:cs="Arial"/>
          <w:b/>
        </w:rPr>
        <w:t>11 septembre 2015</w:t>
      </w:r>
      <w:r>
        <w:rPr>
          <w:rFonts w:cs="Arial"/>
        </w:rPr>
        <w:t>.</w:t>
      </w:r>
    </w:p>
    <w:p w14:paraId="2007E046" w14:textId="015BBCC1" w:rsidR="00CD4CF5" w:rsidRDefault="001A191B" w:rsidP="001A191B">
      <w:pPr>
        <w:spacing w:before="120" w:line="240" w:lineRule="auto"/>
        <w:jc w:val="both"/>
        <w:rPr>
          <w:rFonts w:cs="Arial"/>
          <w:noProof/>
          <w:color w:val="1F497D"/>
          <w:kern w:val="28"/>
          <w:sz w:val="24"/>
          <w:szCs w:val="24"/>
        </w:rPr>
      </w:pPr>
      <w:r>
        <w:rPr>
          <w:rFonts w:cs="Arial"/>
        </w:rPr>
        <w:lastRenderedPageBreak/>
        <w:t xml:space="preserve">Le </w:t>
      </w:r>
      <w:r w:rsidRPr="001A191B">
        <w:rPr>
          <w:rFonts w:cs="Arial"/>
          <w:b/>
        </w:rPr>
        <w:t>30 septembre 2015</w:t>
      </w:r>
      <w:r>
        <w:rPr>
          <w:rFonts w:cs="Arial"/>
        </w:rPr>
        <w:t>, clôture de l’opération de cession en Sale &amp; Franchise back de 29 hôtels à Event Hotels annoncée le 29 avril 2015.</w:t>
      </w:r>
    </w:p>
    <w:p w14:paraId="02D3265C" w14:textId="77777777" w:rsidR="00022E5A" w:rsidRPr="00756B9E" w:rsidRDefault="00022E5A" w:rsidP="00FE1D06">
      <w:pPr>
        <w:pStyle w:val="Texteavecpuces"/>
        <w:numPr>
          <w:ilvl w:val="0"/>
          <w:numId w:val="0"/>
        </w:numPr>
        <w:spacing w:before="20" w:after="20" w:line="288" w:lineRule="auto"/>
        <w:rPr>
          <w:rFonts w:cs="Arial"/>
          <w:noProof/>
          <w:color w:val="1F497D"/>
          <w:kern w:val="28"/>
          <w:sz w:val="24"/>
          <w:szCs w:val="24"/>
        </w:rPr>
      </w:pPr>
    </w:p>
    <w:p w14:paraId="2B5EEC7F" w14:textId="77777777" w:rsidR="00060904" w:rsidRDefault="00060904" w:rsidP="00060904">
      <w:pPr>
        <w:spacing w:line="240" w:lineRule="auto"/>
        <w:jc w:val="both"/>
        <w:rPr>
          <w:rFonts w:eastAsia="Times New Roman" w:cs="Arial"/>
          <w:b/>
          <w:sz w:val="20"/>
          <w:highlight w:val="yellow"/>
        </w:rPr>
      </w:pPr>
    </w:p>
    <w:p w14:paraId="099340FE" w14:textId="77777777" w:rsidR="00022E5A" w:rsidRPr="00022E5A" w:rsidRDefault="00022E5A" w:rsidP="00022E5A">
      <w:pPr>
        <w:jc w:val="both"/>
        <w:rPr>
          <w:b/>
          <w:color w:val="E6A500" w:themeColor="accent2"/>
          <w:sz w:val="24"/>
          <w:szCs w:val="24"/>
        </w:rPr>
      </w:pPr>
      <w:r w:rsidRPr="00022E5A">
        <w:rPr>
          <w:b/>
          <w:color w:val="E6A500" w:themeColor="accent2"/>
          <w:sz w:val="24"/>
          <w:szCs w:val="24"/>
        </w:rPr>
        <w:t>Ouvertures significatives</w:t>
      </w:r>
    </w:p>
    <w:p w14:paraId="7130FC1B" w14:textId="4C107B89" w:rsidR="00022E5A" w:rsidRPr="00022E5A" w:rsidRDefault="00022E5A" w:rsidP="00022E5A">
      <w:pPr>
        <w:spacing w:before="120" w:line="240" w:lineRule="auto"/>
        <w:jc w:val="both"/>
        <w:rPr>
          <w:rFonts w:cs="Arial"/>
        </w:rPr>
      </w:pPr>
      <w:r w:rsidRPr="00022E5A">
        <w:rPr>
          <w:rFonts w:cs="Arial"/>
          <w:b/>
        </w:rPr>
        <w:t xml:space="preserve">Le Groupe a </w:t>
      </w:r>
      <w:r w:rsidRPr="00D27DAD">
        <w:rPr>
          <w:rFonts w:cs="Arial"/>
          <w:b/>
        </w:rPr>
        <w:t xml:space="preserve">ouvert </w:t>
      </w:r>
      <w:r w:rsidR="00CF0C1C" w:rsidRPr="00D27DAD">
        <w:rPr>
          <w:rFonts w:cs="Arial"/>
          <w:b/>
        </w:rPr>
        <w:t>8</w:t>
      </w:r>
      <w:r w:rsidRPr="00D27DAD">
        <w:rPr>
          <w:rFonts w:cs="Arial"/>
          <w:b/>
        </w:rPr>
        <w:t xml:space="preserve"> </w:t>
      </w:r>
      <w:r w:rsidR="00CF0C1C" w:rsidRPr="00D27DAD">
        <w:rPr>
          <w:rFonts w:cs="Arial"/>
          <w:b/>
        </w:rPr>
        <w:t>4</w:t>
      </w:r>
      <w:r w:rsidR="00757304" w:rsidRPr="00D27DAD">
        <w:rPr>
          <w:rFonts w:cs="Arial"/>
          <w:b/>
        </w:rPr>
        <w:t>43</w:t>
      </w:r>
      <w:r w:rsidRPr="00D27DAD">
        <w:rPr>
          <w:rFonts w:cs="Arial"/>
          <w:b/>
        </w:rPr>
        <w:t xml:space="preserve"> nouvelles</w:t>
      </w:r>
      <w:r w:rsidRPr="00022E5A">
        <w:rPr>
          <w:rFonts w:cs="Arial"/>
          <w:b/>
        </w:rPr>
        <w:t xml:space="preserve"> chambres (</w:t>
      </w:r>
      <w:r w:rsidR="00CF0C1C">
        <w:rPr>
          <w:rFonts w:cs="Arial"/>
          <w:b/>
        </w:rPr>
        <w:t>55</w:t>
      </w:r>
      <w:r w:rsidRPr="00022E5A">
        <w:rPr>
          <w:rFonts w:cs="Arial"/>
          <w:b/>
        </w:rPr>
        <w:t xml:space="preserve"> hôtels)</w:t>
      </w:r>
      <w:r w:rsidRPr="00022E5A">
        <w:rPr>
          <w:rFonts w:cs="Arial"/>
        </w:rPr>
        <w:t xml:space="preserve"> au </w:t>
      </w:r>
      <w:r>
        <w:rPr>
          <w:rFonts w:cs="Arial"/>
        </w:rPr>
        <w:t>3</w:t>
      </w:r>
      <w:r w:rsidRPr="00022E5A">
        <w:rPr>
          <w:rFonts w:cs="Arial"/>
          <w:vertAlign w:val="superscript"/>
        </w:rPr>
        <w:t>ème</w:t>
      </w:r>
      <w:r>
        <w:rPr>
          <w:rFonts w:cs="Arial"/>
        </w:rPr>
        <w:t xml:space="preserve"> </w:t>
      </w:r>
      <w:r w:rsidRPr="00022E5A">
        <w:rPr>
          <w:rFonts w:cs="Arial"/>
        </w:rPr>
        <w:t xml:space="preserve">trimestre 2015. Parmi les ouvertures significatives se </w:t>
      </w:r>
      <w:r w:rsidRPr="002371F6">
        <w:rPr>
          <w:rFonts w:cs="Arial"/>
        </w:rPr>
        <w:t xml:space="preserve">trouvent le Pullman </w:t>
      </w:r>
      <w:r w:rsidR="00CF0C1C">
        <w:rPr>
          <w:rFonts w:cs="Arial"/>
        </w:rPr>
        <w:t xml:space="preserve">City Centre à Kuala Lumpur (Malaisie), le Mercure Amsterdam Sloterduk (Pays-Bas), </w:t>
      </w:r>
      <w:r w:rsidR="00B45D11">
        <w:rPr>
          <w:rFonts w:cs="Arial"/>
        </w:rPr>
        <w:t xml:space="preserve">le Novotel/ibis </w:t>
      </w:r>
      <w:r w:rsidR="002F1286">
        <w:rPr>
          <w:rFonts w:cs="Arial"/>
        </w:rPr>
        <w:t>City Arnulfpark à Munich (Allemagne), l’ibis Moscow Dynamo (Russie) et l’ibis Styles CDG Airport à Roissy (France).</w:t>
      </w:r>
    </w:p>
    <w:p w14:paraId="3E381BE7" w14:textId="77777777" w:rsidR="00022E5A" w:rsidRDefault="00022E5A" w:rsidP="00060904">
      <w:pPr>
        <w:spacing w:line="240" w:lineRule="auto"/>
        <w:jc w:val="both"/>
        <w:rPr>
          <w:rFonts w:eastAsia="Times New Roman" w:cs="Arial"/>
          <w:b/>
          <w:sz w:val="20"/>
          <w:highlight w:val="yellow"/>
        </w:rPr>
      </w:pPr>
    </w:p>
    <w:p w14:paraId="7F447B9C" w14:textId="77777777" w:rsidR="00022E5A" w:rsidRDefault="00022E5A" w:rsidP="00060904">
      <w:pPr>
        <w:spacing w:line="240" w:lineRule="auto"/>
        <w:jc w:val="both"/>
        <w:rPr>
          <w:rFonts w:eastAsia="Times New Roman" w:cs="Arial"/>
          <w:b/>
          <w:sz w:val="20"/>
          <w:highlight w:val="yellow"/>
        </w:rPr>
      </w:pPr>
    </w:p>
    <w:p w14:paraId="7973371D" w14:textId="77777777" w:rsidR="00022E5A" w:rsidRDefault="00022E5A" w:rsidP="00060904">
      <w:pPr>
        <w:spacing w:line="240" w:lineRule="auto"/>
        <w:jc w:val="both"/>
        <w:rPr>
          <w:rFonts w:eastAsia="Times New Roman" w:cs="Arial"/>
          <w:b/>
          <w:sz w:val="20"/>
          <w:highlight w:val="yellow"/>
        </w:rPr>
      </w:pPr>
    </w:p>
    <w:p w14:paraId="73A38CBD" w14:textId="77777777" w:rsidR="00060904" w:rsidRDefault="00060904" w:rsidP="00060904">
      <w:pPr>
        <w:spacing w:line="240" w:lineRule="auto"/>
        <w:jc w:val="both"/>
        <w:rPr>
          <w:rFonts w:eastAsia="Times New Roman" w:cs="Arial"/>
          <w:b/>
          <w:sz w:val="20"/>
          <w:highlight w:val="yellow"/>
        </w:rPr>
      </w:pPr>
    </w:p>
    <w:p w14:paraId="6B06EC99" w14:textId="3EA03603" w:rsidR="00060904" w:rsidRPr="00645153" w:rsidRDefault="00022E5A" w:rsidP="00645153">
      <w:pPr>
        <w:spacing w:line="240" w:lineRule="auto"/>
        <w:rPr>
          <w:rFonts w:cs="Arial"/>
          <w:noProof/>
          <w:color w:val="002A41"/>
          <w:kern w:val="28"/>
          <w:szCs w:val="32"/>
          <w:u w:val="single"/>
        </w:rPr>
      </w:pPr>
      <w:r>
        <w:rPr>
          <w:rFonts w:cs="Arial"/>
          <w:noProof/>
          <w:color w:val="002A41"/>
          <w:kern w:val="28"/>
          <w:szCs w:val="32"/>
          <w:u w:val="single"/>
        </w:rPr>
        <w:t>Prochain rendez-vous</w:t>
      </w:r>
    </w:p>
    <w:p w14:paraId="03AF9927" w14:textId="77777777" w:rsidR="00060904" w:rsidRPr="00407B21" w:rsidRDefault="00060904" w:rsidP="00407B21">
      <w:pPr>
        <w:spacing w:line="240" w:lineRule="auto"/>
        <w:jc w:val="both"/>
        <w:rPr>
          <w:bCs/>
          <w:sz w:val="20"/>
        </w:rPr>
      </w:pPr>
    </w:p>
    <w:p w14:paraId="0293327B" w14:textId="79D0141B" w:rsidR="00060904" w:rsidRPr="009D49D3" w:rsidRDefault="002F1286" w:rsidP="007F04A6">
      <w:pPr>
        <w:spacing w:before="120" w:line="240" w:lineRule="auto"/>
        <w:jc w:val="both"/>
        <w:rPr>
          <w:rFonts w:cs="Arial"/>
          <w:i/>
        </w:rPr>
      </w:pPr>
      <w:r>
        <w:rPr>
          <w:rFonts w:cs="Arial"/>
          <w:i/>
        </w:rPr>
        <w:t>18 février</w:t>
      </w:r>
      <w:r w:rsidR="00060904" w:rsidRPr="009D49D3">
        <w:rPr>
          <w:rFonts w:cs="Arial"/>
          <w:i/>
        </w:rPr>
        <w:t xml:space="preserve"> 201</w:t>
      </w:r>
      <w:r w:rsidR="00022E5A">
        <w:rPr>
          <w:rFonts w:cs="Arial"/>
          <w:i/>
        </w:rPr>
        <w:t>6</w:t>
      </w:r>
      <w:r>
        <w:rPr>
          <w:rFonts w:cs="Arial"/>
          <w:i/>
        </w:rPr>
        <w:t> : Publication des Résultats Annuels 2015</w:t>
      </w:r>
    </w:p>
    <w:p w14:paraId="572DDD54" w14:textId="77777777" w:rsidR="00D177D2" w:rsidRDefault="00D177D2" w:rsidP="00645153">
      <w:pPr>
        <w:spacing w:line="240" w:lineRule="auto"/>
        <w:rPr>
          <w:rFonts w:cs="Arial"/>
          <w:noProof/>
          <w:color w:val="002A41"/>
          <w:kern w:val="28"/>
          <w:szCs w:val="32"/>
          <w:u w:val="single"/>
        </w:rPr>
      </w:pPr>
    </w:p>
    <w:p w14:paraId="6353FEC3" w14:textId="77777777" w:rsidR="008950A7" w:rsidRDefault="008950A7" w:rsidP="00645153">
      <w:pPr>
        <w:spacing w:line="240" w:lineRule="auto"/>
        <w:rPr>
          <w:rFonts w:cs="Arial"/>
          <w:noProof/>
          <w:color w:val="002A41"/>
          <w:kern w:val="28"/>
          <w:szCs w:val="32"/>
          <w:u w:val="single"/>
        </w:rPr>
      </w:pPr>
    </w:p>
    <w:p w14:paraId="1E879F68" w14:textId="23DEB13F" w:rsidR="003E6367" w:rsidRPr="00060904" w:rsidRDefault="003E6367" w:rsidP="003E6367">
      <w:pPr>
        <w:jc w:val="both"/>
        <w:rPr>
          <w:color w:val="4E6379"/>
          <w:sz w:val="18"/>
          <w:szCs w:val="14"/>
        </w:rPr>
      </w:pPr>
      <w:r w:rsidRPr="00060904">
        <w:rPr>
          <w:color w:val="4E6379"/>
          <w:sz w:val="18"/>
          <w:szCs w:val="14"/>
        </w:rPr>
        <w:t xml:space="preserve">À PROPOS DE ACCORHOTELS </w:t>
      </w:r>
    </w:p>
    <w:p w14:paraId="53FB21FC" w14:textId="77777777" w:rsidR="003E6367" w:rsidRPr="00060904" w:rsidRDefault="003E6367" w:rsidP="003E6367">
      <w:pPr>
        <w:pStyle w:val="Default"/>
        <w:ind w:left="992" w:right="1310"/>
        <w:jc w:val="both"/>
        <w:rPr>
          <w:color w:val="4E6379"/>
          <w:sz w:val="18"/>
          <w:szCs w:val="14"/>
        </w:rPr>
      </w:pPr>
      <w:r w:rsidRPr="00060904">
        <w:rPr>
          <w:color w:val="4E6379"/>
          <w:sz w:val="18"/>
          <w:szCs w:val="14"/>
        </w:rPr>
        <w:t xml:space="preserve">AccorHotels, un groupe uni autour d’une même passion, l’accueil, et porté par une même promesse : Feel Welcome. </w:t>
      </w:r>
    </w:p>
    <w:p w14:paraId="6453AC24" w14:textId="24910E2C" w:rsidR="003E6367" w:rsidRPr="00060904" w:rsidRDefault="003E6367" w:rsidP="003E6367">
      <w:pPr>
        <w:pStyle w:val="Default"/>
        <w:ind w:left="992" w:right="1310"/>
        <w:jc w:val="both"/>
        <w:rPr>
          <w:color w:val="4E6379"/>
          <w:sz w:val="18"/>
          <w:szCs w:val="14"/>
        </w:rPr>
      </w:pPr>
      <w:r w:rsidRPr="00060904">
        <w:rPr>
          <w:color w:val="4E6379"/>
          <w:sz w:val="18"/>
          <w:szCs w:val="14"/>
        </w:rPr>
        <w:t xml:space="preserve">Plus de 180 000 femmes et hommes, sous enseignes AccorHotels, veillent chaque jour sur des milliers d’hôtes dans 3 </w:t>
      </w:r>
      <w:r w:rsidR="002F1286">
        <w:rPr>
          <w:color w:val="4E6379"/>
          <w:sz w:val="18"/>
          <w:szCs w:val="14"/>
        </w:rPr>
        <w:t>8</w:t>
      </w:r>
      <w:r w:rsidRPr="00060904">
        <w:rPr>
          <w:color w:val="4E6379"/>
          <w:sz w:val="18"/>
          <w:szCs w:val="14"/>
        </w:rPr>
        <w:t xml:space="preserve">00 hôtels implantés dans 92 pays. </w:t>
      </w:r>
    </w:p>
    <w:p w14:paraId="78FFDAFC" w14:textId="77777777" w:rsidR="003E6367" w:rsidRPr="00060904" w:rsidRDefault="003E6367" w:rsidP="003E6367">
      <w:pPr>
        <w:pStyle w:val="Default"/>
        <w:ind w:left="992" w:right="1310"/>
        <w:jc w:val="both"/>
        <w:rPr>
          <w:color w:val="4E6379"/>
          <w:sz w:val="18"/>
          <w:szCs w:val="14"/>
        </w:rPr>
      </w:pPr>
      <w:r w:rsidRPr="00060904">
        <w:rPr>
          <w:color w:val="4E6379"/>
          <w:sz w:val="18"/>
          <w:szCs w:val="14"/>
        </w:rPr>
        <w:t xml:space="preserve">Premier opérateur hôtelier au monde, AccorHotels met au service de ses clients, partenaires et collaborateurs : </w:t>
      </w:r>
    </w:p>
    <w:p w14:paraId="0A80E3B2" w14:textId="77777777" w:rsidR="003E6367" w:rsidRPr="00060904" w:rsidRDefault="003E6367" w:rsidP="003E6367">
      <w:pPr>
        <w:pStyle w:val="Default"/>
        <w:ind w:left="992" w:right="1310"/>
        <w:jc w:val="both"/>
        <w:rPr>
          <w:color w:val="4E6379"/>
          <w:sz w:val="18"/>
          <w:szCs w:val="14"/>
        </w:rPr>
      </w:pPr>
      <w:r w:rsidRPr="00060904">
        <w:rPr>
          <w:color w:val="4E6379"/>
          <w:sz w:val="18"/>
          <w:szCs w:val="14"/>
        </w:rPr>
        <w:t xml:space="preserve">- ses deux expertises d’opérateur/franchiseur (HotelServices) et de propriétaire/investisseur (HotelInvest) ; </w:t>
      </w:r>
    </w:p>
    <w:p w14:paraId="0DABD798" w14:textId="77777777" w:rsidR="003E6367" w:rsidRPr="00060904" w:rsidRDefault="003E6367" w:rsidP="003E6367">
      <w:pPr>
        <w:pStyle w:val="Default"/>
        <w:ind w:left="992" w:right="1310"/>
        <w:jc w:val="both"/>
        <w:rPr>
          <w:color w:val="4E6379"/>
          <w:sz w:val="18"/>
          <w:szCs w:val="14"/>
        </w:rPr>
      </w:pPr>
      <w:r w:rsidRPr="00060904">
        <w:rPr>
          <w:color w:val="4E6379"/>
          <w:sz w:val="18"/>
          <w:szCs w:val="14"/>
        </w:rPr>
        <w:t xml:space="preserve">- un large portefeuille de marques de renommée internationale allant du luxe (Sofitel, Pullman, MGallery, Grand Mercure, The Sebel) à l’économique (ibis, ibis Styles, ibis budget, adagio access et hotelF1) en passant par le milieu de gamme (Novotel, Suite Novotel, Mercure, Adagio) ; </w:t>
      </w:r>
    </w:p>
    <w:p w14:paraId="147A90FA" w14:textId="77777777" w:rsidR="003E6367" w:rsidRPr="00060904" w:rsidRDefault="003E6367" w:rsidP="003E6367">
      <w:pPr>
        <w:pStyle w:val="Default"/>
        <w:ind w:left="992" w:right="1310"/>
        <w:jc w:val="both"/>
        <w:rPr>
          <w:color w:val="4E6379"/>
          <w:sz w:val="18"/>
          <w:szCs w:val="14"/>
        </w:rPr>
      </w:pPr>
      <w:r w:rsidRPr="00060904">
        <w:rPr>
          <w:color w:val="4E6379"/>
          <w:sz w:val="18"/>
          <w:szCs w:val="14"/>
        </w:rPr>
        <w:t xml:space="preserve">- la puissance de sa place de marché et de son programme de fidélité Le Club AccorHotels; </w:t>
      </w:r>
    </w:p>
    <w:p w14:paraId="3D18877C" w14:textId="77777777" w:rsidR="003E6367" w:rsidRPr="00060904" w:rsidRDefault="003E6367" w:rsidP="003E6367">
      <w:pPr>
        <w:pStyle w:val="Default"/>
        <w:ind w:left="992" w:right="1310"/>
        <w:jc w:val="both"/>
        <w:rPr>
          <w:color w:val="4E6379"/>
          <w:sz w:val="18"/>
          <w:szCs w:val="14"/>
        </w:rPr>
      </w:pPr>
      <w:r w:rsidRPr="00060904">
        <w:rPr>
          <w:color w:val="4E6379"/>
          <w:sz w:val="18"/>
          <w:szCs w:val="14"/>
        </w:rPr>
        <w:t xml:space="preserve">- l’engagement depuis près de 50 ans d’une entreprise citoyenne et solidaire avec son programme PLANET 21. </w:t>
      </w:r>
    </w:p>
    <w:p w14:paraId="71127084" w14:textId="77777777" w:rsidR="003E6367" w:rsidRPr="009D49D3" w:rsidRDefault="003E6367" w:rsidP="003E6367">
      <w:pPr>
        <w:spacing w:line="168" w:lineRule="exact"/>
        <w:rPr>
          <w:color w:val="4F657B"/>
          <w:sz w:val="18"/>
          <w:szCs w:val="14"/>
        </w:rPr>
      </w:pPr>
      <w:r w:rsidRPr="00060904">
        <w:rPr>
          <w:iCs/>
          <w:color w:val="4E6379"/>
          <w:sz w:val="16"/>
          <w:szCs w:val="12"/>
        </w:rPr>
        <w:t xml:space="preserve">ACCOR SA est une société cotée sur Euronext Paris (Code ISIN : FR0000120404) et sur le marché OTC aux USA (Code ACRFY) </w:t>
      </w:r>
    </w:p>
    <w:p w14:paraId="6B737B4D" w14:textId="77777777" w:rsidR="003E6367" w:rsidRDefault="003E6367" w:rsidP="003E6367">
      <w:pPr>
        <w:pStyle w:val="APropos"/>
        <w:rPr>
          <w:sz w:val="18"/>
        </w:rPr>
      </w:pPr>
    </w:p>
    <w:p w14:paraId="484E22D9" w14:textId="77777777" w:rsidR="003E6367" w:rsidRDefault="003E6367" w:rsidP="003E6367">
      <w:pPr>
        <w:pStyle w:val="APropos"/>
        <w:rPr>
          <w:sz w:val="18"/>
        </w:rPr>
      </w:pPr>
    </w:p>
    <w:p w14:paraId="789BABA1" w14:textId="77777777" w:rsidR="003E6367" w:rsidRDefault="003E6367" w:rsidP="003E6367">
      <w:pPr>
        <w:pStyle w:val="APropos"/>
        <w:rPr>
          <w:sz w:val="18"/>
        </w:rPr>
      </w:pPr>
    </w:p>
    <w:p w14:paraId="071446AA" w14:textId="77777777" w:rsidR="003E6367" w:rsidRDefault="003E6367" w:rsidP="003E6367">
      <w:pPr>
        <w:pStyle w:val="APropos"/>
        <w:rPr>
          <w:sz w:val="18"/>
        </w:rPr>
      </w:pPr>
    </w:p>
    <w:p w14:paraId="2FE78EF2" w14:textId="77777777" w:rsidR="003E6367" w:rsidRPr="00060904" w:rsidRDefault="003E6367" w:rsidP="003E6367">
      <w:pPr>
        <w:pStyle w:val="APropos"/>
        <w:rPr>
          <w:sz w:val="18"/>
        </w:rPr>
      </w:pPr>
    </w:p>
    <w:p w14:paraId="6163B3AD" w14:textId="77777777" w:rsidR="003E6367" w:rsidRDefault="003E6367" w:rsidP="003E6367">
      <w:pPr>
        <w:tabs>
          <w:tab w:val="clear" w:pos="9266"/>
          <w:tab w:val="left" w:pos="3119"/>
          <w:tab w:val="left" w:pos="7655"/>
        </w:tabs>
        <w:spacing w:line="160" w:lineRule="exact"/>
        <w:ind w:left="993" w:right="0"/>
        <w:rPr>
          <w:b/>
          <w:spacing w:val="-4"/>
          <w:sz w:val="18"/>
          <w:szCs w:val="14"/>
        </w:rPr>
      </w:pPr>
      <w:r w:rsidRPr="00060904">
        <w:rPr>
          <w:b/>
          <w:spacing w:val="-4"/>
          <w:sz w:val="18"/>
          <w:szCs w:val="14"/>
        </w:rPr>
        <w:t>Contacts press</w:t>
      </w:r>
      <w:r>
        <w:rPr>
          <w:b/>
          <w:spacing w:val="-4"/>
          <w:sz w:val="18"/>
          <w:szCs w:val="14"/>
        </w:rPr>
        <w:t>e</w:t>
      </w:r>
    </w:p>
    <w:p w14:paraId="48F0E4EA" w14:textId="77777777" w:rsidR="003E6367" w:rsidRPr="00060904" w:rsidRDefault="003E6367" w:rsidP="003E6367">
      <w:pPr>
        <w:tabs>
          <w:tab w:val="clear" w:pos="9266"/>
          <w:tab w:val="left" w:pos="3119"/>
          <w:tab w:val="left" w:pos="7655"/>
        </w:tabs>
        <w:spacing w:line="160" w:lineRule="exact"/>
        <w:ind w:left="993" w:right="0"/>
        <w:rPr>
          <w:b/>
          <w:spacing w:val="-4"/>
          <w:sz w:val="18"/>
          <w:szCs w:val="14"/>
        </w:rPr>
      </w:pPr>
    </w:p>
    <w:p w14:paraId="5C8AC284" w14:textId="77777777" w:rsidR="003E6367" w:rsidRPr="00060904" w:rsidRDefault="003E6367" w:rsidP="003E6367">
      <w:pPr>
        <w:tabs>
          <w:tab w:val="clear" w:pos="9266"/>
          <w:tab w:val="left" w:pos="3119"/>
        </w:tabs>
        <w:spacing w:line="160" w:lineRule="exact"/>
        <w:ind w:left="993" w:right="0"/>
        <w:rPr>
          <w:spacing w:val="-4"/>
          <w:sz w:val="18"/>
          <w:szCs w:val="14"/>
        </w:rPr>
      </w:pPr>
      <w:r w:rsidRPr="00060904">
        <w:rPr>
          <w:b/>
          <w:spacing w:val="-4"/>
          <w:sz w:val="18"/>
          <w:szCs w:val="14"/>
        </w:rPr>
        <w:t>Anne-France Malrieu</w:t>
      </w:r>
      <w:r w:rsidRPr="00060904">
        <w:rPr>
          <w:spacing w:val="-4"/>
          <w:sz w:val="18"/>
          <w:szCs w:val="14"/>
        </w:rPr>
        <w:tab/>
      </w:r>
      <w:r w:rsidRPr="00060904">
        <w:rPr>
          <w:b/>
          <w:spacing w:val="-4"/>
          <w:sz w:val="18"/>
          <w:szCs w:val="14"/>
        </w:rPr>
        <w:t>Carina Alfonso Martin</w:t>
      </w:r>
      <w:r w:rsidRPr="00060904">
        <w:rPr>
          <w:spacing w:val="-4"/>
          <w:sz w:val="18"/>
          <w:szCs w:val="14"/>
        </w:rPr>
        <w:tab/>
      </w:r>
      <w:r w:rsidRPr="00060904">
        <w:rPr>
          <w:spacing w:val="-4"/>
          <w:sz w:val="18"/>
          <w:szCs w:val="14"/>
        </w:rPr>
        <w:tab/>
      </w:r>
      <w:r w:rsidRPr="00060904">
        <w:rPr>
          <w:spacing w:val="-4"/>
          <w:sz w:val="18"/>
          <w:szCs w:val="14"/>
        </w:rPr>
        <w:tab/>
      </w:r>
      <w:r w:rsidRPr="00060904">
        <w:rPr>
          <w:b/>
          <w:spacing w:val="-4"/>
          <w:sz w:val="18"/>
          <w:szCs w:val="14"/>
        </w:rPr>
        <w:t>Marie-Camille Aubagnac</w:t>
      </w:r>
    </w:p>
    <w:p w14:paraId="5255362B" w14:textId="77777777" w:rsidR="003E6367" w:rsidRPr="00060904" w:rsidRDefault="003E6367" w:rsidP="003E6367">
      <w:pPr>
        <w:tabs>
          <w:tab w:val="clear" w:pos="9266"/>
          <w:tab w:val="left" w:pos="3119"/>
          <w:tab w:val="left" w:pos="6379"/>
        </w:tabs>
        <w:spacing w:line="160" w:lineRule="exact"/>
        <w:ind w:left="993" w:right="0"/>
        <w:rPr>
          <w:spacing w:val="-4"/>
          <w:sz w:val="18"/>
          <w:szCs w:val="14"/>
        </w:rPr>
      </w:pPr>
      <w:r w:rsidRPr="00060904">
        <w:rPr>
          <w:spacing w:val="-4"/>
          <w:sz w:val="18"/>
          <w:szCs w:val="14"/>
        </w:rPr>
        <w:t>Image 7</w:t>
      </w:r>
      <w:r w:rsidRPr="00060904">
        <w:rPr>
          <w:spacing w:val="-4"/>
          <w:sz w:val="18"/>
          <w:szCs w:val="14"/>
        </w:rPr>
        <w:tab/>
        <w:t>Directrice des Relations Media Monde</w:t>
      </w:r>
      <w:r w:rsidRPr="00060904">
        <w:rPr>
          <w:spacing w:val="-4"/>
          <w:sz w:val="18"/>
          <w:szCs w:val="14"/>
        </w:rPr>
        <w:tab/>
        <w:t>Relations Media</w:t>
      </w:r>
    </w:p>
    <w:p w14:paraId="2A0BDEE6" w14:textId="77777777" w:rsidR="003E6367" w:rsidRPr="00060904" w:rsidRDefault="003E6367" w:rsidP="003E6367">
      <w:pPr>
        <w:tabs>
          <w:tab w:val="clear" w:pos="9266"/>
          <w:tab w:val="left" w:pos="3119"/>
          <w:tab w:val="left" w:pos="6379"/>
        </w:tabs>
        <w:spacing w:line="160" w:lineRule="exact"/>
        <w:ind w:left="993" w:right="0"/>
        <w:rPr>
          <w:spacing w:val="-4"/>
          <w:sz w:val="18"/>
          <w:szCs w:val="14"/>
          <w:lang w:val="es-ES"/>
        </w:rPr>
      </w:pPr>
      <w:r w:rsidRPr="00060904">
        <w:rPr>
          <w:spacing w:val="-4"/>
          <w:sz w:val="18"/>
          <w:szCs w:val="14"/>
          <w:lang w:val="es-ES"/>
        </w:rPr>
        <w:t>Tel : +33 1 53 70 74 66</w:t>
      </w:r>
      <w:r w:rsidRPr="00060904">
        <w:rPr>
          <w:spacing w:val="-4"/>
          <w:sz w:val="18"/>
          <w:szCs w:val="14"/>
          <w:lang w:val="es-ES"/>
        </w:rPr>
        <w:tab/>
        <w:t xml:space="preserve">Tel : +33 1 45 38 84 84 </w:t>
      </w:r>
      <w:r w:rsidRPr="00060904">
        <w:rPr>
          <w:spacing w:val="-4"/>
          <w:sz w:val="18"/>
          <w:szCs w:val="14"/>
          <w:lang w:val="es-ES"/>
        </w:rPr>
        <w:tab/>
      </w:r>
      <w:r w:rsidRPr="00060904">
        <w:rPr>
          <w:spacing w:val="-4"/>
          <w:sz w:val="18"/>
          <w:szCs w:val="14"/>
        </w:rPr>
        <w:t>Tel : +33 1 45 38 19 16</w:t>
      </w:r>
      <w:r w:rsidRPr="00060904">
        <w:rPr>
          <w:spacing w:val="-4"/>
          <w:sz w:val="18"/>
          <w:szCs w:val="14"/>
        </w:rPr>
        <w:br/>
      </w:r>
      <w:hyperlink r:id="rId12" w:history="1">
        <w:r w:rsidRPr="00060904">
          <w:rPr>
            <w:rStyle w:val="Lienhypertexte"/>
            <w:spacing w:val="-4"/>
            <w:sz w:val="18"/>
            <w:szCs w:val="14"/>
            <w:lang w:val="es-ES"/>
          </w:rPr>
          <w:t>afmalrieu@image7.fr</w:t>
        </w:r>
      </w:hyperlink>
      <w:r w:rsidRPr="00060904">
        <w:rPr>
          <w:spacing w:val="-4"/>
          <w:sz w:val="18"/>
          <w:szCs w:val="14"/>
          <w:lang w:val="es-ES"/>
        </w:rPr>
        <w:t xml:space="preserve"> </w:t>
      </w:r>
      <w:r w:rsidRPr="00060904">
        <w:rPr>
          <w:spacing w:val="-4"/>
          <w:sz w:val="18"/>
          <w:szCs w:val="14"/>
          <w:lang w:val="es-ES"/>
        </w:rPr>
        <w:tab/>
      </w:r>
      <w:hyperlink r:id="rId13" w:history="1">
        <w:r w:rsidRPr="00060904">
          <w:rPr>
            <w:rStyle w:val="Lienhypertexte"/>
            <w:spacing w:val="-4"/>
            <w:sz w:val="18"/>
            <w:szCs w:val="14"/>
            <w:lang w:val="es-ES"/>
          </w:rPr>
          <w:t>carina.alfonsomartin@accor.com</w:t>
        </w:r>
      </w:hyperlink>
      <w:r w:rsidRPr="00060904">
        <w:rPr>
          <w:spacing w:val="-4"/>
          <w:sz w:val="18"/>
          <w:szCs w:val="14"/>
          <w:lang w:val="es-ES"/>
        </w:rPr>
        <w:t xml:space="preserve"> </w:t>
      </w:r>
      <w:r w:rsidRPr="00060904">
        <w:rPr>
          <w:spacing w:val="-4"/>
          <w:sz w:val="18"/>
          <w:szCs w:val="14"/>
          <w:lang w:val="es-ES"/>
        </w:rPr>
        <w:tab/>
      </w:r>
      <w:hyperlink r:id="rId14" w:history="1">
        <w:r w:rsidRPr="00060904">
          <w:rPr>
            <w:rStyle w:val="Lienhypertexte"/>
            <w:spacing w:val="-4"/>
            <w:sz w:val="18"/>
            <w:szCs w:val="14"/>
          </w:rPr>
          <w:t>marie-camille.aubagnac@accor.com</w:t>
        </w:r>
      </w:hyperlink>
      <w:r w:rsidRPr="00060904">
        <w:rPr>
          <w:spacing w:val="-4"/>
          <w:sz w:val="18"/>
          <w:szCs w:val="14"/>
          <w:lang w:val="es-ES"/>
        </w:rPr>
        <w:t xml:space="preserve"> </w:t>
      </w:r>
    </w:p>
    <w:p w14:paraId="2472D7C7" w14:textId="77777777" w:rsidR="003E6367" w:rsidRDefault="003E6367" w:rsidP="003E6367">
      <w:pPr>
        <w:tabs>
          <w:tab w:val="clear" w:pos="9266"/>
          <w:tab w:val="left" w:pos="3119"/>
          <w:tab w:val="left" w:pos="7655"/>
        </w:tabs>
        <w:spacing w:line="160" w:lineRule="exact"/>
        <w:ind w:left="993" w:right="0"/>
        <w:rPr>
          <w:spacing w:val="-4"/>
          <w:sz w:val="18"/>
          <w:szCs w:val="14"/>
          <w:lang w:val="es-ES"/>
        </w:rPr>
      </w:pPr>
    </w:p>
    <w:p w14:paraId="64CCA5F0" w14:textId="77777777" w:rsidR="003E6367" w:rsidRDefault="003E6367" w:rsidP="003E6367">
      <w:pPr>
        <w:tabs>
          <w:tab w:val="clear" w:pos="9266"/>
          <w:tab w:val="left" w:pos="3119"/>
          <w:tab w:val="left" w:pos="7655"/>
        </w:tabs>
        <w:spacing w:line="160" w:lineRule="exact"/>
        <w:ind w:left="993" w:right="0"/>
        <w:rPr>
          <w:spacing w:val="-4"/>
          <w:sz w:val="18"/>
          <w:szCs w:val="14"/>
          <w:lang w:val="es-ES"/>
        </w:rPr>
      </w:pPr>
    </w:p>
    <w:p w14:paraId="1A06CE51" w14:textId="77777777" w:rsidR="003E6367" w:rsidRDefault="003E6367" w:rsidP="003E6367">
      <w:pPr>
        <w:tabs>
          <w:tab w:val="clear" w:pos="9266"/>
          <w:tab w:val="left" w:pos="3119"/>
          <w:tab w:val="left" w:pos="7655"/>
        </w:tabs>
        <w:spacing w:line="160" w:lineRule="exact"/>
        <w:ind w:left="993" w:right="0"/>
        <w:rPr>
          <w:spacing w:val="-4"/>
          <w:sz w:val="18"/>
          <w:szCs w:val="14"/>
          <w:lang w:val="es-ES"/>
        </w:rPr>
      </w:pPr>
    </w:p>
    <w:p w14:paraId="1225C302" w14:textId="77777777" w:rsidR="003E6367" w:rsidRPr="00060904" w:rsidRDefault="003E6367" w:rsidP="003E6367">
      <w:pPr>
        <w:tabs>
          <w:tab w:val="clear" w:pos="9266"/>
          <w:tab w:val="left" w:pos="3119"/>
          <w:tab w:val="left" w:pos="7655"/>
        </w:tabs>
        <w:spacing w:line="160" w:lineRule="exact"/>
        <w:ind w:left="993" w:right="0"/>
        <w:rPr>
          <w:spacing w:val="-4"/>
          <w:sz w:val="18"/>
          <w:szCs w:val="14"/>
          <w:lang w:val="es-ES"/>
        </w:rPr>
      </w:pPr>
    </w:p>
    <w:p w14:paraId="4DB6E570" w14:textId="77777777" w:rsidR="003E6367" w:rsidRPr="00060904" w:rsidRDefault="003E6367" w:rsidP="003E6367">
      <w:pPr>
        <w:tabs>
          <w:tab w:val="clear" w:pos="9266"/>
          <w:tab w:val="left" w:pos="3119"/>
          <w:tab w:val="left" w:pos="7655"/>
        </w:tabs>
        <w:spacing w:line="160" w:lineRule="exact"/>
        <w:ind w:right="0"/>
        <w:rPr>
          <w:b/>
          <w:spacing w:val="-4"/>
          <w:sz w:val="18"/>
          <w:szCs w:val="14"/>
          <w:lang w:val="es-ES"/>
        </w:rPr>
      </w:pPr>
    </w:p>
    <w:p w14:paraId="7C8CDEFD" w14:textId="77777777" w:rsidR="003E6367" w:rsidRPr="00060904" w:rsidRDefault="003E6367" w:rsidP="003E6367">
      <w:pPr>
        <w:tabs>
          <w:tab w:val="clear" w:pos="9266"/>
          <w:tab w:val="left" w:pos="3119"/>
          <w:tab w:val="left" w:pos="7655"/>
        </w:tabs>
        <w:spacing w:line="160" w:lineRule="exact"/>
        <w:ind w:left="993" w:right="0"/>
        <w:rPr>
          <w:b/>
          <w:spacing w:val="-4"/>
          <w:sz w:val="18"/>
          <w:szCs w:val="14"/>
          <w:lang w:val="es-ES"/>
        </w:rPr>
      </w:pPr>
    </w:p>
    <w:p w14:paraId="43537FEE" w14:textId="77777777" w:rsidR="003E6367" w:rsidRPr="00060904" w:rsidRDefault="003E6367" w:rsidP="003E6367">
      <w:pPr>
        <w:tabs>
          <w:tab w:val="clear" w:pos="9266"/>
          <w:tab w:val="left" w:pos="3119"/>
          <w:tab w:val="left" w:pos="7655"/>
        </w:tabs>
        <w:spacing w:line="160" w:lineRule="exact"/>
        <w:ind w:left="993" w:right="0"/>
        <w:rPr>
          <w:b/>
          <w:spacing w:val="-4"/>
          <w:sz w:val="18"/>
          <w:szCs w:val="14"/>
        </w:rPr>
      </w:pPr>
      <w:r w:rsidRPr="00060904">
        <w:rPr>
          <w:b/>
          <w:spacing w:val="-4"/>
          <w:sz w:val="18"/>
          <w:szCs w:val="14"/>
        </w:rPr>
        <w:t>Contacts investisseurs  et analystes</w:t>
      </w:r>
    </w:p>
    <w:tbl>
      <w:tblPr>
        <w:tblW w:w="9298" w:type="dxa"/>
        <w:tblInd w:w="2" w:type="dxa"/>
        <w:tblLayout w:type="fixed"/>
        <w:tblCellMar>
          <w:left w:w="0" w:type="dxa"/>
          <w:right w:w="0" w:type="dxa"/>
        </w:tblCellMar>
        <w:tblLook w:val="0000" w:firstRow="0" w:lastRow="0" w:firstColumn="0" w:lastColumn="0" w:noHBand="0" w:noVBand="0"/>
      </w:tblPr>
      <w:tblGrid>
        <w:gridCol w:w="4251"/>
        <w:gridCol w:w="850"/>
        <w:gridCol w:w="4197"/>
      </w:tblGrid>
      <w:tr w:rsidR="003E6367" w:rsidRPr="00060904" w14:paraId="79D561F0" w14:textId="77777777" w:rsidTr="00DE5549">
        <w:trPr>
          <w:trHeight w:hRule="exact" w:val="1036"/>
        </w:trPr>
        <w:tc>
          <w:tcPr>
            <w:tcW w:w="4251" w:type="dxa"/>
          </w:tcPr>
          <w:p w14:paraId="755F9637" w14:textId="77777777" w:rsidR="003E6367" w:rsidRPr="00060904" w:rsidRDefault="003E6367" w:rsidP="00DE5549">
            <w:pPr>
              <w:tabs>
                <w:tab w:val="clear" w:pos="9266"/>
                <w:tab w:val="left" w:pos="3828"/>
                <w:tab w:val="left" w:pos="6663"/>
                <w:tab w:val="left" w:pos="7655"/>
              </w:tabs>
              <w:spacing w:line="160" w:lineRule="exact"/>
              <w:ind w:left="993" w:right="0"/>
              <w:rPr>
                <w:b/>
                <w:spacing w:val="-4"/>
                <w:sz w:val="18"/>
                <w:szCs w:val="14"/>
              </w:rPr>
            </w:pPr>
          </w:p>
          <w:p w14:paraId="6F12A421" w14:textId="77777777" w:rsidR="003E6367" w:rsidRPr="00060904" w:rsidRDefault="003E6367" w:rsidP="00DE5549">
            <w:pPr>
              <w:tabs>
                <w:tab w:val="clear" w:pos="9266"/>
                <w:tab w:val="left" w:pos="3828"/>
                <w:tab w:val="left" w:pos="6663"/>
                <w:tab w:val="left" w:pos="7655"/>
              </w:tabs>
              <w:spacing w:line="160" w:lineRule="exact"/>
              <w:ind w:left="993" w:right="0"/>
              <w:rPr>
                <w:b/>
                <w:spacing w:val="-4"/>
                <w:sz w:val="18"/>
                <w:szCs w:val="14"/>
              </w:rPr>
            </w:pPr>
            <w:r w:rsidRPr="00060904">
              <w:rPr>
                <w:b/>
                <w:spacing w:val="-4"/>
                <w:sz w:val="18"/>
                <w:szCs w:val="14"/>
              </w:rPr>
              <w:t>Sébastien Valentin</w:t>
            </w:r>
          </w:p>
          <w:p w14:paraId="392F7243" w14:textId="77777777" w:rsidR="003E6367" w:rsidRPr="00060904" w:rsidRDefault="003E6367" w:rsidP="00DE5549">
            <w:pPr>
              <w:tabs>
                <w:tab w:val="clear" w:pos="9266"/>
                <w:tab w:val="left" w:pos="3828"/>
                <w:tab w:val="left" w:pos="6663"/>
                <w:tab w:val="left" w:pos="7655"/>
              </w:tabs>
              <w:spacing w:line="160" w:lineRule="exact"/>
              <w:ind w:left="993" w:right="0"/>
              <w:rPr>
                <w:spacing w:val="-4"/>
                <w:sz w:val="18"/>
                <w:szCs w:val="14"/>
              </w:rPr>
            </w:pPr>
            <w:r w:rsidRPr="00060904">
              <w:rPr>
                <w:spacing w:val="-4"/>
                <w:sz w:val="18"/>
                <w:szCs w:val="14"/>
              </w:rPr>
              <w:t>Directeur de la Communication Financière</w:t>
            </w:r>
          </w:p>
          <w:p w14:paraId="6C3F39F2" w14:textId="77777777" w:rsidR="003E6367" w:rsidRPr="00060904" w:rsidRDefault="003E6367" w:rsidP="00DE5549">
            <w:pPr>
              <w:tabs>
                <w:tab w:val="clear" w:pos="9266"/>
                <w:tab w:val="left" w:pos="3828"/>
                <w:tab w:val="left" w:pos="6663"/>
                <w:tab w:val="left" w:pos="7655"/>
              </w:tabs>
              <w:spacing w:line="160" w:lineRule="exact"/>
              <w:ind w:left="993" w:right="0"/>
              <w:rPr>
                <w:spacing w:val="-4"/>
                <w:sz w:val="18"/>
                <w:szCs w:val="14"/>
              </w:rPr>
            </w:pPr>
            <w:r w:rsidRPr="00060904">
              <w:rPr>
                <w:spacing w:val="-4"/>
                <w:sz w:val="18"/>
                <w:szCs w:val="14"/>
              </w:rPr>
              <w:t>et des Relations Investisseurs</w:t>
            </w:r>
          </w:p>
          <w:p w14:paraId="509EEF4D" w14:textId="77777777" w:rsidR="003E6367" w:rsidRDefault="003E6367" w:rsidP="00DE5549">
            <w:pPr>
              <w:tabs>
                <w:tab w:val="clear" w:pos="9266"/>
                <w:tab w:val="left" w:pos="3828"/>
                <w:tab w:val="left" w:pos="6663"/>
                <w:tab w:val="left" w:pos="7655"/>
              </w:tabs>
              <w:spacing w:line="160" w:lineRule="exact"/>
              <w:ind w:left="993" w:right="0"/>
              <w:rPr>
                <w:spacing w:val="-4"/>
                <w:sz w:val="18"/>
                <w:szCs w:val="14"/>
              </w:rPr>
            </w:pPr>
            <w:r w:rsidRPr="00060904">
              <w:rPr>
                <w:spacing w:val="-4"/>
                <w:sz w:val="18"/>
                <w:szCs w:val="14"/>
              </w:rPr>
              <w:t>Phone: +33 (0)1 45 38 86 25</w:t>
            </w:r>
          </w:p>
          <w:p w14:paraId="7C4F3682" w14:textId="77777777" w:rsidR="003E6367" w:rsidRPr="00060904" w:rsidRDefault="003F5934" w:rsidP="00DE5549">
            <w:pPr>
              <w:tabs>
                <w:tab w:val="clear" w:pos="9266"/>
                <w:tab w:val="left" w:pos="3828"/>
                <w:tab w:val="left" w:pos="6663"/>
                <w:tab w:val="left" w:pos="7655"/>
              </w:tabs>
              <w:spacing w:line="160" w:lineRule="exact"/>
              <w:ind w:left="993" w:right="0"/>
              <w:rPr>
                <w:spacing w:val="-4"/>
                <w:sz w:val="18"/>
                <w:szCs w:val="14"/>
              </w:rPr>
            </w:pPr>
            <w:hyperlink r:id="rId15" w:history="1">
              <w:r w:rsidR="003E6367" w:rsidRPr="00060904">
                <w:rPr>
                  <w:rStyle w:val="Lienhypertexte"/>
                  <w:spacing w:val="-4"/>
                  <w:sz w:val="18"/>
                  <w:szCs w:val="14"/>
                </w:rPr>
                <w:t>sebastien.valentin@accor.com</w:t>
              </w:r>
            </w:hyperlink>
            <w:r w:rsidR="003E6367" w:rsidRPr="00060904">
              <w:rPr>
                <w:spacing w:val="-4"/>
                <w:sz w:val="18"/>
                <w:szCs w:val="14"/>
              </w:rPr>
              <w:t xml:space="preserve"> </w:t>
            </w:r>
          </w:p>
        </w:tc>
        <w:tc>
          <w:tcPr>
            <w:tcW w:w="850" w:type="dxa"/>
          </w:tcPr>
          <w:p w14:paraId="05EB1BC1" w14:textId="77777777" w:rsidR="003E6367" w:rsidRPr="00060904" w:rsidRDefault="003E6367" w:rsidP="00DE5549">
            <w:pPr>
              <w:tabs>
                <w:tab w:val="clear" w:pos="9266"/>
                <w:tab w:val="left" w:pos="3828"/>
                <w:tab w:val="left" w:pos="6663"/>
                <w:tab w:val="left" w:pos="7655"/>
              </w:tabs>
              <w:spacing w:line="160" w:lineRule="exact"/>
              <w:ind w:left="993" w:right="0"/>
              <w:jc w:val="both"/>
              <w:rPr>
                <w:b/>
                <w:spacing w:val="-4"/>
                <w:sz w:val="18"/>
                <w:szCs w:val="14"/>
              </w:rPr>
            </w:pPr>
          </w:p>
        </w:tc>
        <w:tc>
          <w:tcPr>
            <w:tcW w:w="4197" w:type="dxa"/>
          </w:tcPr>
          <w:p w14:paraId="27947EA0" w14:textId="77777777" w:rsidR="003E6367" w:rsidRPr="00060904" w:rsidRDefault="003E6367" w:rsidP="00DE5549">
            <w:pPr>
              <w:tabs>
                <w:tab w:val="clear" w:pos="9266"/>
                <w:tab w:val="left" w:pos="3828"/>
                <w:tab w:val="left" w:pos="6663"/>
                <w:tab w:val="left" w:pos="7655"/>
              </w:tabs>
              <w:spacing w:line="160" w:lineRule="exact"/>
              <w:ind w:left="0" w:right="0"/>
              <w:rPr>
                <w:b/>
                <w:spacing w:val="-4"/>
                <w:sz w:val="18"/>
                <w:szCs w:val="14"/>
              </w:rPr>
            </w:pPr>
          </w:p>
          <w:p w14:paraId="06CA8CDB" w14:textId="77777777" w:rsidR="003E6367" w:rsidRPr="00060904" w:rsidRDefault="003E6367" w:rsidP="00DE5549">
            <w:pPr>
              <w:tabs>
                <w:tab w:val="clear" w:pos="9266"/>
                <w:tab w:val="left" w:pos="3828"/>
                <w:tab w:val="left" w:pos="6663"/>
                <w:tab w:val="left" w:pos="7655"/>
              </w:tabs>
              <w:spacing w:line="160" w:lineRule="exact"/>
              <w:ind w:left="0" w:right="0"/>
              <w:rPr>
                <w:b/>
                <w:spacing w:val="-4"/>
                <w:sz w:val="18"/>
                <w:szCs w:val="14"/>
              </w:rPr>
            </w:pPr>
            <w:r w:rsidRPr="00060904">
              <w:rPr>
                <w:b/>
                <w:spacing w:val="-4"/>
                <w:sz w:val="18"/>
                <w:szCs w:val="14"/>
              </w:rPr>
              <w:t>Marie Niel</w:t>
            </w:r>
          </w:p>
          <w:p w14:paraId="238A6109" w14:textId="77777777" w:rsidR="003E6367" w:rsidRPr="00060904" w:rsidRDefault="003E6367" w:rsidP="00DE5549">
            <w:pPr>
              <w:tabs>
                <w:tab w:val="clear" w:pos="9266"/>
                <w:tab w:val="left" w:pos="3828"/>
                <w:tab w:val="left" w:pos="6663"/>
                <w:tab w:val="left" w:pos="7655"/>
              </w:tabs>
              <w:spacing w:line="160" w:lineRule="exact"/>
              <w:ind w:left="0" w:right="0"/>
              <w:rPr>
                <w:spacing w:val="-4"/>
                <w:sz w:val="18"/>
                <w:szCs w:val="14"/>
              </w:rPr>
            </w:pPr>
            <w:r w:rsidRPr="00060904">
              <w:rPr>
                <w:spacing w:val="-4"/>
                <w:sz w:val="18"/>
                <w:szCs w:val="14"/>
              </w:rPr>
              <w:t>Relations Investisseurs</w:t>
            </w:r>
            <w:r w:rsidRPr="00060904">
              <w:rPr>
                <w:spacing w:val="-4"/>
                <w:sz w:val="18"/>
                <w:szCs w:val="14"/>
              </w:rPr>
              <w:br/>
              <w:t>Phone: +33 (0)1 45 38 86 94</w:t>
            </w:r>
          </w:p>
          <w:p w14:paraId="0EB967F2" w14:textId="77777777" w:rsidR="003E6367" w:rsidRPr="00060904" w:rsidRDefault="003F5934" w:rsidP="00DE5549">
            <w:pPr>
              <w:tabs>
                <w:tab w:val="clear" w:pos="9266"/>
                <w:tab w:val="left" w:pos="3828"/>
                <w:tab w:val="left" w:pos="6663"/>
                <w:tab w:val="left" w:pos="7655"/>
              </w:tabs>
              <w:spacing w:line="160" w:lineRule="exact"/>
              <w:ind w:left="0" w:right="0"/>
              <w:rPr>
                <w:b/>
                <w:spacing w:val="-4"/>
                <w:sz w:val="18"/>
                <w:szCs w:val="14"/>
              </w:rPr>
            </w:pPr>
            <w:hyperlink r:id="rId16" w:history="1">
              <w:r w:rsidR="003E6367" w:rsidRPr="00060904">
                <w:rPr>
                  <w:rStyle w:val="Lienhypertexte"/>
                  <w:spacing w:val="-4"/>
                  <w:sz w:val="18"/>
                  <w:szCs w:val="14"/>
                </w:rPr>
                <w:t>marie.niel@accor.com</w:t>
              </w:r>
            </w:hyperlink>
            <w:r w:rsidR="003E6367" w:rsidRPr="00060904">
              <w:rPr>
                <w:spacing w:val="-4"/>
                <w:sz w:val="18"/>
                <w:szCs w:val="14"/>
              </w:rPr>
              <w:t xml:space="preserve"> </w:t>
            </w:r>
          </w:p>
        </w:tc>
      </w:tr>
    </w:tbl>
    <w:p w14:paraId="0A1B28C8" w14:textId="77777777" w:rsidR="003E6367" w:rsidRPr="00060904" w:rsidRDefault="003E6367" w:rsidP="003E6367">
      <w:pPr>
        <w:tabs>
          <w:tab w:val="clear" w:pos="9266"/>
          <w:tab w:val="left" w:pos="3828"/>
          <w:tab w:val="left" w:pos="6379"/>
          <w:tab w:val="left" w:pos="6663"/>
        </w:tabs>
        <w:spacing w:line="160" w:lineRule="exact"/>
        <w:ind w:left="993" w:right="0"/>
        <w:rPr>
          <w:spacing w:val="-4"/>
          <w:sz w:val="18"/>
          <w:szCs w:val="14"/>
        </w:rPr>
      </w:pPr>
    </w:p>
    <w:p w14:paraId="4EF8260B" w14:textId="77777777" w:rsidR="003E6367" w:rsidRPr="00060904" w:rsidRDefault="003E6367" w:rsidP="003E6367">
      <w:pPr>
        <w:pStyle w:val="Default"/>
        <w:ind w:left="992"/>
        <w:rPr>
          <w:color w:val="4E6379"/>
          <w:sz w:val="18"/>
          <w:szCs w:val="14"/>
        </w:rPr>
      </w:pPr>
      <w:r w:rsidRPr="00060904">
        <w:rPr>
          <w:color w:val="4E6379"/>
          <w:sz w:val="18"/>
          <w:szCs w:val="14"/>
        </w:rPr>
        <w:t xml:space="preserve">Suivez l’actualité du Groupe sur : </w:t>
      </w:r>
      <w:r w:rsidRPr="00060904">
        <w:rPr>
          <w:color w:val="4E6379"/>
          <w:sz w:val="18"/>
          <w:szCs w:val="14"/>
        </w:rPr>
        <w:tab/>
      </w:r>
      <w:r w:rsidRPr="00060904">
        <w:rPr>
          <w:color w:val="4E6379"/>
          <w:sz w:val="18"/>
          <w:szCs w:val="14"/>
        </w:rPr>
        <w:tab/>
      </w:r>
      <w:r w:rsidRPr="00060904">
        <w:rPr>
          <w:color w:val="4E6379"/>
          <w:sz w:val="18"/>
          <w:szCs w:val="14"/>
        </w:rPr>
        <w:tab/>
      </w:r>
      <w:r w:rsidRPr="00060904">
        <w:rPr>
          <w:color w:val="4E6379"/>
          <w:sz w:val="18"/>
          <w:szCs w:val="14"/>
        </w:rPr>
        <w:tab/>
        <w:t xml:space="preserve">Effectuez vos réservations sur : </w:t>
      </w:r>
    </w:p>
    <w:p w14:paraId="20D86657" w14:textId="77777777" w:rsidR="003E6367" w:rsidRDefault="003E6367" w:rsidP="003E6367">
      <w:pPr>
        <w:pStyle w:val="APropos"/>
        <w:tabs>
          <w:tab w:val="clear" w:pos="9266"/>
          <w:tab w:val="left" w:pos="3119"/>
          <w:tab w:val="left" w:pos="6521"/>
        </w:tabs>
        <w:ind w:right="0"/>
        <w:jc w:val="left"/>
        <w:rPr>
          <w:rStyle w:val="Lienhypertexte"/>
          <w:sz w:val="18"/>
        </w:rPr>
      </w:pPr>
      <w:r w:rsidRPr="00060904">
        <w:rPr>
          <w:color w:val="4E6379"/>
          <w:sz w:val="18"/>
        </w:rPr>
        <w:t xml:space="preserve">www.twitter.com/accorhotelsgroup | </w:t>
      </w:r>
      <w:r w:rsidRPr="00060904">
        <w:rPr>
          <w:color w:val="0000FF"/>
          <w:sz w:val="18"/>
          <w:u w:val="single"/>
        </w:rPr>
        <w:t>www.accorhotels-group.com</w:t>
      </w:r>
      <w:r w:rsidRPr="00060904">
        <w:rPr>
          <w:color w:val="0000FF"/>
          <w:sz w:val="18"/>
        </w:rPr>
        <w:t xml:space="preserve">           </w:t>
      </w:r>
      <w:hyperlink r:id="rId17" w:history="1">
        <w:r w:rsidRPr="00DD6B0D">
          <w:rPr>
            <w:rStyle w:val="Lienhypertexte"/>
            <w:sz w:val="18"/>
          </w:rPr>
          <w:t>www.accorhotels.com</w:t>
        </w:r>
      </w:hyperlink>
    </w:p>
    <w:p w14:paraId="3C7F2277" w14:textId="77777777" w:rsidR="00F52AEB" w:rsidRDefault="00F52AEB">
      <w:pPr>
        <w:tabs>
          <w:tab w:val="clear" w:pos="9266"/>
        </w:tabs>
        <w:spacing w:line="240" w:lineRule="auto"/>
        <w:ind w:left="0" w:right="0"/>
        <w:rPr>
          <w:color w:val="002B41"/>
          <w:kern w:val="28"/>
          <w:sz w:val="24"/>
          <w:szCs w:val="32"/>
        </w:rPr>
      </w:pPr>
      <w:r>
        <w:rPr>
          <w:color w:val="002B41"/>
          <w:kern w:val="28"/>
          <w:sz w:val="24"/>
          <w:szCs w:val="32"/>
        </w:rPr>
        <w:br w:type="page"/>
      </w:r>
    </w:p>
    <w:p w14:paraId="34D8969E" w14:textId="2E0D2F79" w:rsidR="00F57D1B" w:rsidRDefault="00F57D1B" w:rsidP="00F57D1B">
      <w:pPr>
        <w:jc w:val="both"/>
        <w:rPr>
          <w:b/>
          <w:color w:val="E6A500" w:themeColor="accent2"/>
          <w:sz w:val="24"/>
          <w:szCs w:val="24"/>
        </w:rPr>
      </w:pPr>
      <w:r>
        <w:rPr>
          <w:b/>
          <w:color w:val="E6A500" w:themeColor="accent2"/>
          <w:sz w:val="24"/>
          <w:szCs w:val="24"/>
        </w:rPr>
        <w:lastRenderedPageBreak/>
        <w:t>Chiffre d’affaires cumulé à fin septembre</w:t>
      </w:r>
      <w:r w:rsidRPr="00060904">
        <w:rPr>
          <w:b/>
          <w:color w:val="E6A500" w:themeColor="accent2"/>
          <w:sz w:val="24"/>
          <w:szCs w:val="24"/>
        </w:rPr>
        <w:t xml:space="preserve"> 2015</w:t>
      </w:r>
    </w:p>
    <w:p w14:paraId="7416F114" w14:textId="77777777" w:rsidR="00F57D1B" w:rsidRPr="00605AF1" w:rsidRDefault="00F57D1B" w:rsidP="00F57D1B">
      <w:pPr>
        <w:jc w:val="both"/>
        <w:rPr>
          <w:b/>
          <w:color w:val="E6A500" w:themeColor="accent2"/>
          <w:sz w:val="24"/>
          <w:szCs w:val="24"/>
        </w:rPr>
      </w:pPr>
    </w:p>
    <w:p w14:paraId="2F2B899F" w14:textId="77777777" w:rsidR="00F57D1B" w:rsidRPr="00605AF1" w:rsidRDefault="00F57D1B" w:rsidP="00F57D1B">
      <w:pPr>
        <w:spacing w:before="120" w:line="240" w:lineRule="auto"/>
        <w:jc w:val="both"/>
        <w:rPr>
          <w:rFonts w:cs="Arial"/>
          <w:u w:val="single"/>
        </w:rPr>
      </w:pPr>
      <w:r>
        <w:rPr>
          <w:rFonts w:cs="Arial"/>
          <w:u w:val="single"/>
        </w:rPr>
        <w:t>Bonne progression</w:t>
      </w:r>
      <w:r w:rsidRPr="00605AF1">
        <w:rPr>
          <w:rFonts w:cs="Arial"/>
          <w:u w:val="single"/>
        </w:rPr>
        <w:t xml:space="preserve"> du chiffre d’affaires</w:t>
      </w:r>
    </w:p>
    <w:p w14:paraId="344B6E42" w14:textId="77777777" w:rsidR="00F57D1B" w:rsidRPr="005C257F" w:rsidRDefault="00F57D1B" w:rsidP="00F57D1B">
      <w:pPr>
        <w:pStyle w:val="Texteavecpuces"/>
        <w:numPr>
          <w:ilvl w:val="0"/>
          <w:numId w:val="0"/>
        </w:numPr>
        <w:spacing w:after="20" w:line="276" w:lineRule="auto"/>
        <w:jc w:val="both"/>
        <w:rPr>
          <w:rFonts w:cs="Arial"/>
          <w:noProof/>
          <w:kern w:val="28"/>
        </w:rPr>
      </w:pPr>
    </w:p>
    <w:p w14:paraId="4CD1971E" w14:textId="7A3C6804" w:rsidR="00F57D1B" w:rsidRDefault="00EB54CF" w:rsidP="00F57D1B">
      <w:pPr>
        <w:pStyle w:val="Texteavecpuces"/>
        <w:numPr>
          <w:ilvl w:val="0"/>
          <w:numId w:val="0"/>
        </w:numPr>
        <w:spacing w:after="20" w:line="276" w:lineRule="auto"/>
        <w:ind w:left="-284"/>
        <w:jc w:val="center"/>
        <w:rPr>
          <w:b/>
          <w:noProof/>
          <w:color w:val="0F2F7E"/>
          <w:kern w:val="28"/>
          <w:sz w:val="32"/>
          <w:szCs w:val="36"/>
        </w:rPr>
      </w:pPr>
      <w:r w:rsidRPr="00FC1B9B">
        <w:rPr>
          <w:rFonts w:cs="Arial"/>
          <w:noProof/>
          <w:color w:val="E6A500"/>
          <w:kern w:val="28"/>
          <w:sz w:val="32"/>
          <w:szCs w:val="32"/>
        </w:rPr>
        <mc:AlternateContent>
          <mc:Choice Requires="wps">
            <w:drawing>
              <wp:anchor distT="0" distB="0" distL="114300" distR="114300" simplePos="0" relativeHeight="251693056" behindDoc="0" locked="0" layoutInCell="1" allowOverlap="1" wp14:anchorId="3CD80906" wp14:editId="70ABDDFF">
                <wp:simplePos x="0" y="0"/>
                <wp:positionH relativeFrom="column">
                  <wp:posOffset>3101340</wp:posOffset>
                </wp:positionH>
                <wp:positionV relativeFrom="paragraph">
                  <wp:posOffset>23799</wp:posOffset>
                </wp:positionV>
                <wp:extent cx="765810" cy="1125855"/>
                <wp:effectExtent l="0" t="0" r="15240" b="17145"/>
                <wp:wrapNone/>
                <wp:docPr id="3" name="Rectangle à coins arrondis 8"/>
                <wp:cNvGraphicFramePr/>
                <a:graphic xmlns:a="http://schemas.openxmlformats.org/drawingml/2006/main">
                  <a:graphicData uri="http://schemas.microsoft.com/office/word/2010/wordprocessingShape">
                    <wps:wsp>
                      <wps:cNvSpPr/>
                      <wps:spPr>
                        <a:xfrm>
                          <a:off x="0" y="0"/>
                          <a:ext cx="765810" cy="1125855"/>
                        </a:xfrm>
                        <a:prstGeom prst="roundRect">
                          <a:avLst>
                            <a:gd name="adj" fmla="val 4809"/>
                          </a:avLst>
                        </a:prstGeom>
                        <a:noFill/>
                        <a:ln w="6350">
                          <a:solidFill>
                            <a:srgbClr val="E6B400"/>
                          </a:solid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14E8C652" id="Rectangle à coins arrondis 8" o:spid="_x0000_s1026" style="position:absolute;margin-left:244.2pt;margin-top:1.85pt;width:60.3pt;height:88.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" filled="f" strokecolor="#e6b400" strokeweight=".5pt"/>
            </w:pict>
          </mc:Fallback>
        </mc:AlternateContent>
      </w:r>
      <w:r w:rsidR="00F57D1B">
        <w:rPr>
          <w:rFonts w:cs="Arial"/>
          <w:noProof/>
          <w:color w:val="E6A500"/>
          <w:kern w:val="28"/>
          <w:sz w:val="32"/>
          <w:szCs w:val="32"/>
        </w:rPr>
        <mc:AlternateContent>
          <mc:Choice Requires="wps">
            <w:drawing>
              <wp:anchor distT="0" distB="0" distL="114300" distR="114300" simplePos="0" relativeHeight="251694080" behindDoc="0" locked="0" layoutInCell="1" allowOverlap="1" wp14:anchorId="1F9F3C22" wp14:editId="29CC3A36">
                <wp:simplePos x="0" y="0"/>
                <wp:positionH relativeFrom="column">
                  <wp:posOffset>672779</wp:posOffset>
                </wp:positionH>
                <wp:positionV relativeFrom="paragraph">
                  <wp:posOffset>732922</wp:posOffset>
                </wp:positionV>
                <wp:extent cx="4938666" cy="0"/>
                <wp:effectExtent l="0" t="0" r="14605" b="19050"/>
                <wp:wrapNone/>
                <wp:docPr id="2" name="Connecteur droit 2"/>
                <wp:cNvGraphicFramePr/>
                <a:graphic xmlns:a="http://schemas.openxmlformats.org/drawingml/2006/main">
                  <a:graphicData uri="http://schemas.microsoft.com/office/word/2010/wordprocessingShape">
                    <wps:wsp>
                      <wps:cNvCnPr/>
                      <wps:spPr>
                        <a:xfrm>
                          <a:off x="0" y="0"/>
                          <a:ext cx="4938666" cy="0"/>
                        </a:xfrm>
                        <a:prstGeom prst="line">
                          <a:avLst/>
                        </a:prstGeom>
                        <a:ln w="6350">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FA0314E" id="Connecteur droit 2"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95pt,57.7pt" to="441.8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" strokecolor="#bfbfbf [2412]" strokeweight=".5pt"/>
            </w:pict>
          </mc:Fallback>
        </mc:AlternateContent>
      </w:r>
      <w:bookmarkStart w:id="3" w:name="_MON_1506165049"/>
      <w:bookmarkEnd w:id="3"/>
      <w:r w:rsidR="000B151E" w:rsidRPr="00797F26">
        <w:rPr>
          <w:b/>
          <w:noProof/>
          <w:color w:val="0F2F7E"/>
          <w:kern w:val="28"/>
          <w:sz w:val="32"/>
          <w:szCs w:val="36"/>
        </w:rPr>
        <w:object w:dxaOrig="7204" w:dyaOrig="1616" w14:anchorId="07A3E017">
          <v:shape id="_x0000_i1027" type="#_x0000_t75" style="width:390pt;height:87pt" o:ole="">
            <v:imagedata r:id="rId18" o:title=""/>
          </v:shape>
          <o:OLEObject Type="Embed" ProgID="Excel.Sheet.12" ShapeID="_x0000_i1027" DrawAspect="Content" ObjectID="_1506348628" r:id="rId19"/>
        </w:object>
      </w:r>
    </w:p>
    <w:p w14:paraId="74DAC426" w14:textId="77777777" w:rsidR="00F57D1B" w:rsidRDefault="00F57D1B">
      <w:pPr>
        <w:tabs>
          <w:tab w:val="clear" w:pos="9266"/>
        </w:tabs>
        <w:spacing w:line="240" w:lineRule="auto"/>
        <w:ind w:left="0" w:right="0"/>
        <w:rPr>
          <w:color w:val="002B41"/>
          <w:kern w:val="28"/>
          <w:sz w:val="24"/>
          <w:szCs w:val="32"/>
        </w:rPr>
      </w:pPr>
    </w:p>
    <w:p w14:paraId="24F887C0" w14:textId="77777777" w:rsidR="00F57D1B" w:rsidRDefault="00F57D1B">
      <w:pPr>
        <w:tabs>
          <w:tab w:val="clear" w:pos="9266"/>
        </w:tabs>
        <w:spacing w:line="240" w:lineRule="auto"/>
        <w:ind w:left="0" w:right="0"/>
        <w:rPr>
          <w:color w:val="002B41"/>
          <w:kern w:val="28"/>
          <w:sz w:val="24"/>
          <w:szCs w:val="32"/>
        </w:rPr>
      </w:pPr>
    </w:p>
    <w:p w14:paraId="588AA333" w14:textId="77777777" w:rsidR="00F57D1B" w:rsidRPr="00536A1D" w:rsidRDefault="00F57D1B" w:rsidP="00F57D1B">
      <w:pPr>
        <w:spacing w:before="120" w:line="240" w:lineRule="auto"/>
        <w:jc w:val="both"/>
        <w:rPr>
          <w:rFonts w:cs="Arial"/>
        </w:rPr>
      </w:pPr>
      <w:r w:rsidRPr="00536A1D">
        <w:rPr>
          <w:rFonts w:cs="Arial"/>
        </w:rPr>
        <w:t>Les données publiées reflètent les éléments suivants :</w:t>
      </w:r>
    </w:p>
    <w:p w14:paraId="59A3B1C5" w14:textId="77777777" w:rsidR="00F57D1B" w:rsidRPr="00536A1D" w:rsidRDefault="00F57D1B" w:rsidP="00F57D1B">
      <w:pPr>
        <w:spacing w:line="240" w:lineRule="auto"/>
        <w:jc w:val="both"/>
        <w:rPr>
          <w:sz w:val="12"/>
        </w:rPr>
      </w:pPr>
    </w:p>
    <w:p w14:paraId="77E7AF06" w14:textId="55F5F932" w:rsidR="00F57D1B" w:rsidRPr="00536A1D" w:rsidRDefault="00F57D1B" w:rsidP="00F57D1B">
      <w:pPr>
        <w:pStyle w:val="Paragraphedeliste"/>
        <w:numPr>
          <w:ilvl w:val="0"/>
          <w:numId w:val="28"/>
        </w:numPr>
        <w:spacing w:before="120" w:line="240" w:lineRule="auto"/>
        <w:ind w:left="1418"/>
        <w:jc w:val="both"/>
        <w:rPr>
          <w:rFonts w:cs="Arial"/>
        </w:rPr>
      </w:pPr>
      <w:r w:rsidRPr="00536A1D">
        <w:rPr>
          <w:rFonts w:cs="Arial"/>
        </w:rPr>
        <w:t xml:space="preserve">Le développement, pour 49 millions d’euros (+1.2%) avec l’ouverture de  </w:t>
      </w:r>
      <w:r w:rsidRPr="00536A1D">
        <w:rPr>
          <w:rFonts w:cs="Arial"/>
        </w:rPr>
        <w:br/>
        <w:t xml:space="preserve">23 449 chambres (154 hôtels), à </w:t>
      </w:r>
      <w:r w:rsidR="00536A1D" w:rsidRPr="00536A1D">
        <w:rPr>
          <w:rFonts w:cs="Arial"/>
        </w:rPr>
        <w:t>90</w:t>
      </w:r>
      <w:r w:rsidRPr="00536A1D">
        <w:rPr>
          <w:rFonts w:cs="Arial"/>
        </w:rPr>
        <w:t>% en contrats de management et franchise ;</w:t>
      </w:r>
    </w:p>
    <w:p w14:paraId="0E327EEE" w14:textId="2A768656" w:rsidR="00F57D1B" w:rsidRPr="00536A1D" w:rsidRDefault="00F57D1B" w:rsidP="00F57D1B">
      <w:pPr>
        <w:pStyle w:val="Paragraphedeliste"/>
        <w:numPr>
          <w:ilvl w:val="0"/>
          <w:numId w:val="28"/>
        </w:numPr>
        <w:spacing w:before="120" w:line="240" w:lineRule="auto"/>
        <w:ind w:left="1418"/>
        <w:jc w:val="both"/>
        <w:rPr>
          <w:rFonts w:cs="Arial"/>
        </w:rPr>
      </w:pPr>
      <w:r w:rsidRPr="00536A1D">
        <w:rPr>
          <w:rFonts w:cs="Arial"/>
        </w:rPr>
        <w:t>Les cessions, qui pèsent négativement pour 105 millions d’euros (-2,6%) ;</w:t>
      </w:r>
    </w:p>
    <w:p w14:paraId="423C2CC7" w14:textId="1CB36A10" w:rsidR="00F57D1B" w:rsidRPr="00536A1D" w:rsidRDefault="00F57D1B" w:rsidP="00F57D1B">
      <w:pPr>
        <w:pStyle w:val="Paragraphedeliste"/>
        <w:numPr>
          <w:ilvl w:val="0"/>
          <w:numId w:val="28"/>
        </w:numPr>
        <w:spacing w:before="120" w:line="240" w:lineRule="auto"/>
        <w:ind w:left="1418"/>
        <w:jc w:val="both"/>
        <w:rPr>
          <w:rFonts w:cs="Arial"/>
        </w:rPr>
      </w:pPr>
      <w:r w:rsidRPr="00536A1D">
        <w:rPr>
          <w:rFonts w:cs="Arial"/>
        </w:rPr>
        <w:t>Les effets de change, qui impactent positivement pour 69,5 millions d’euros, liés principalement à la hausse de la Livre Sterling (+47,7 M€), du dollar américain (+14,6 M€) et du Franc suisse (+11,9 M€), et à la baisse du réal brésilien (-28,6 M€).</w:t>
      </w:r>
    </w:p>
    <w:p w14:paraId="7BE6990E" w14:textId="77777777" w:rsidR="00F57D1B" w:rsidRDefault="00F57D1B">
      <w:pPr>
        <w:tabs>
          <w:tab w:val="clear" w:pos="9266"/>
        </w:tabs>
        <w:spacing w:line="240" w:lineRule="auto"/>
        <w:ind w:left="0" w:right="0"/>
        <w:rPr>
          <w:color w:val="002B41"/>
          <w:kern w:val="28"/>
          <w:sz w:val="24"/>
          <w:szCs w:val="32"/>
        </w:rPr>
      </w:pPr>
    </w:p>
    <w:p w14:paraId="1A30C426" w14:textId="1599A937" w:rsidR="00F57D1B" w:rsidRPr="00645153" w:rsidRDefault="00F57D1B" w:rsidP="00F57D1B">
      <w:pPr>
        <w:spacing w:before="120" w:line="240" w:lineRule="auto"/>
        <w:jc w:val="both"/>
        <w:rPr>
          <w:rFonts w:cs="Arial"/>
          <w:u w:val="single"/>
        </w:rPr>
      </w:pPr>
      <w:r w:rsidRPr="00645153">
        <w:rPr>
          <w:rFonts w:cs="Arial"/>
          <w:u w:val="single"/>
        </w:rPr>
        <w:t xml:space="preserve">Chiffre d’affaires par métier et par zone </w:t>
      </w:r>
      <w:r>
        <w:rPr>
          <w:rFonts w:cs="Arial"/>
          <w:u w:val="single"/>
        </w:rPr>
        <w:t xml:space="preserve">géographique à fin septembre </w:t>
      </w:r>
      <w:r w:rsidRPr="00645153">
        <w:rPr>
          <w:rFonts w:cs="Arial"/>
          <w:u w:val="single"/>
        </w:rPr>
        <w:t>2015</w:t>
      </w:r>
    </w:p>
    <w:p w14:paraId="5BE1B561" w14:textId="77777777" w:rsidR="00F57D1B" w:rsidRPr="005C257F" w:rsidRDefault="00F57D1B" w:rsidP="00F57D1B">
      <w:pPr>
        <w:spacing w:before="120" w:line="240" w:lineRule="auto"/>
        <w:jc w:val="both"/>
        <w:rPr>
          <w:rFonts w:cs="Arial"/>
        </w:rPr>
      </w:pPr>
    </w:p>
    <w:p w14:paraId="7CF82054" w14:textId="419F836E" w:rsidR="00F57D1B" w:rsidRPr="005F1C6A" w:rsidRDefault="00231D34" w:rsidP="00F57D1B">
      <w:pPr>
        <w:pStyle w:val="Texteavecpuces"/>
        <w:numPr>
          <w:ilvl w:val="0"/>
          <w:numId w:val="0"/>
        </w:numPr>
        <w:spacing w:after="20" w:line="276" w:lineRule="auto"/>
        <w:ind w:left="-284"/>
        <w:jc w:val="center"/>
        <w:rPr>
          <w:b/>
          <w:noProof/>
          <w:color w:val="0F2F7E"/>
          <w:kern w:val="28"/>
          <w:sz w:val="32"/>
          <w:szCs w:val="36"/>
        </w:rPr>
      </w:pPr>
      <w:r w:rsidRPr="005F1C6A">
        <w:rPr>
          <w:b/>
          <w:noProof/>
          <w:color w:val="0F2F7E"/>
          <w:kern w:val="28"/>
          <w:sz w:val="32"/>
          <w:szCs w:val="36"/>
        </w:rPr>
        <mc:AlternateContent>
          <mc:Choice Requires="wps">
            <w:drawing>
              <wp:anchor distT="0" distB="0" distL="114300" distR="114300" simplePos="0" relativeHeight="251697152" behindDoc="0" locked="0" layoutInCell="1" allowOverlap="1" wp14:anchorId="3881B0BC" wp14:editId="287C9D32">
                <wp:simplePos x="0" y="0"/>
                <wp:positionH relativeFrom="column">
                  <wp:posOffset>4445000</wp:posOffset>
                </wp:positionH>
                <wp:positionV relativeFrom="paragraph">
                  <wp:posOffset>293370</wp:posOffset>
                </wp:positionV>
                <wp:extent cx="621030" cy="1470025"/>
                <wp:effectExtent l="0" t="0" r="26670" b="15875"/>
                <wp:wrapNone/>
                <wp:docPr id="5" name="Rectangle à coins arrondis 8"/>
                <wp:cNvGraphicFramePr/>
                <a:graphic xmlns:a="http://schemas.openxmlformats.org/drawingml/2006/main">
                  <a:graphicData uri="http://schemas.microsoft.com/office/word/2010/wordprocessingShape">
                    <wps:wsp>
                      <wps:cNvSpPr/>
                      <wps:spPr>
                        <a:xfrm>
                          <a:off x="0" y="0"/>
                          <a:ext cx="621030" cy="1470025"/>
                        </a:xfrm>
                        <a:prstGeom prst="roundRect">
                          <a:avLst>
                            <a:gd name="adj" fmla="val 4809"/>
                          </a:avLst>
                        </a:prstGeom>
                        <a:noFill/>
                        <a:ln w="6350">
                          <a:solidFill>
                            <a:srgbClr val="E6B400"/>
                          </a:solid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08D2CB6B" id="Rectangle à coins arrondis 8" o:spid="_x0000_s1026" style="position:absolute;margin-left:350pt;margin-top:23.1pt;width:48.9pt;height:11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" filled="f" strokecolor="#e6b400" strokeweight=".5pt"/>
            </w:pict>
          </mc:Fallback>
        </mc:AlternateContent>
      </w:r>
      <w:r w:rsidRPr="005F1C6A">
        <w:rPr>
          <w:b/>
          <w:noProof/>
          <w:color w:val="0F2F7E"/>
          <w:kern w:val="28"/>
          <w:sz w:val="32"/>
          <w:szCs w:val="36"/>
        </w:rPr>
        <mc:AlternateContent>
          <mc:Choice Requires="wps">
            <w:drawing>
              <wp:anchor distT="0" distB="0" distL="114300" distR="114300" simplePos="0" relativeHeight="251696128" behindDoc="0" locked="0" layoutInCell="1" allowOverlap="1" wp14:anchorId="79F72D09" wp14:editId="008FD21F">
                <wp:simplePos x="0" y="0"/>
                <wp:positionH relativeFrom="column">
                  <wp:posOffset>2488565</wp:posOffset>
                </wp:positionH>
                <wp:positionV relativeFrom="paragraph">
                  <wp:posOffset>286689</wp:posOffset>
                </wp:positionV>
                <wp:extent cx="621030" cy="1479550"/>
                <wp:effectExtent l="0" t="0" r="26670" b="25400"/>
                <wp:wrapNone/>
                <wp:docPr id="6" name="Rectangle à coins arrondis 8"/>
                <wp:cNvGraphicFramePr/>
                <a:graphic xmlns:a="http://schemas.openxmlformats.org/drawingml/2006/main">
                  <a:graphicData uri="http://schemas.microsoft.com/office/word/2010/wordprocessingShape">
                    <wps:wsp>
                      <wps:cNvSpPr/>
                      <wps:spPr>
                        <a:xfrm>
                          <a:off x="0" y="0"/>
                          <a:ext cx="621030" cy="1479550"/>
                        </a:xfrm>
                        <a:prstGeom prst="roundRect">
                          <a:avLst>
                            <a:gd name="adj" fmla="val 4809"/>
                          </a:avLst>
                        </a:prstGeom>
                        <a:noFill/>
                        <a:ln w="6350">
                          <a:solidFill>
                            <a:srgbClr val="E6B400"/>
                          </a:solid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4545DC37" id="Rectangle à coins arrondis 8" o:spid="_x0000_s1026" style="position:absolute;margin-left:195.95pt;margin-top:22.55pt;width:48.9pt;height:1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" filled="f" strokecolor="#e6b400" strokeweight=".5pt"/>
            </w:pict>
          </mc:Fallback>
        </mc:AlternateContent>
      </w:r>
      <w:bookmarkStart w:id="4" w:name="_MON_1506165120"/>
      <w:bookmarkEnd w:id="4"/>
      <w:r w:rsidR="00D27DAD" w:rsidRPr="005F1C6A">
        <w:rPr>
          <w:b/>
          <w:noProof/>
          <w:color w:val="0F2F7E"/>
          <w:kern w:val="28"/>
          <w:sz w:val="32"/>
          <w:szCs w:val="36"/>
        </w:rPr>
        <w:object w:dxaOrig="10182" w:dyaOrig="3497" w14:anchorId="627E1677">
          <v:shape id="_x0000_i1028" type="#_x0000_t75" style="width:404.25pt;height:139.5pt" o:ole="">
            <v:imagedata r:id="rId20" o:title=""/>
          </v:shape>
          <o:OLEObject Type="Embed" ProgID="Excel.Sheet.12" ShapeID="_x0000_i1028" DrawAspect="Content" ObjectID="_1506348629" r:id="rId21"/>
        </w:object>
      </w:r>
    </w:p>
    <w:p w14:paraId="55FD2B67" w14:textId="77777777" w:rsidR="00F57D1B" w:rsidRPr="009E0CC5" w:rsidRDefault="00F57D1B" w:rsidP="00F57D1B">
      <w:pPr>
        <w:spacing w:line="240" w:lineRule="auto"/>
        <w:rPr>
          <w:sz w:val="16"/>
          <w:szCs w:val="16"/>
        </w:rPr>
      </w:pPr>
    </w:p>
    <w:p w14:paraId="6C76F60B" w14:textId="5ACF3D51" w:rsidR="00F57D1B" w:rsidRPr="00AC4934" w:rsidRDefault="00F57D1B" w:rsidP="00F57D1B">
      <w:pPr>
        <w:spacing w:line="240" w:lineRule="auto"/>
        <w:rPr>
          <w:sz w:val="16"/>
          <w:szCs w:val="16"/>
        </w:rPr>
      </w:pPr>
      <w:r>
        <w:rPr>
          <w:sz w:val="16"/>
          <w:szCs w:val="16"/>
        </w:rPr>
        <w:t xml:space="preserve"> (1)</w:t>
      </w:r>
      <w:r w:rsidRPr="00AC4934">
        <w:rPr>
          <w:sz w:val="16"/>
          <w:szCs w:val="16"/>
        </w:rPr>
        <w:t xml:space="preserve"> dont </w:t>
      </w:r>
      <w:r w:rsidR="00536A1D">
        <w:rPr>
          <w:sz w:val="16"/>
          <w:szCs w:val="16"/>
        </w:rPr>
        <w:t xml:space="preserve">436 </w:t>
      </w:r>
      <w:r w:rsidRPr="00AC6A16">
        <w:rPr>
          <w:sz w:val="16"/>
          <w:szCs w:val="16"/>
        </w:rPr>
        <w:t>m</w:t>
      </w:r>
      <w:r w:rsidRPr="00AC4934">
        <w:rPr>
          <w:sz w:val="16"/>
          <w:szCs w:val="16"/>
        </w:rPr>
        <w:t>illions d’euros de flux Internes</w:t>
      </w:r>
    </w:p>
    <w:p w14:paraId="2AC9E5DB" w14:textId="77777777" w:rsidR="00F57D1B" w:rsidRDefault="00F57D1B" w:rsidP="00F57D1B">
      <w:pPr>
        <w:tabs>
          <w:tab w:val="clear" w:pos="9266"/>
        </w:tabs>
        <w:spacing w:line="240" w:lineRule="auto"/>
        <w:ind w:left="0" w:right="0"/>
        <w:rPr>
          <w:rFonts w:cs="Arial"/>
          <w:b/>
          <w:noProof/>
          <w:color w:val="002A41"/>
          <w:kern w:val="28"/>
          <w:sz w:val="32"/>
          <w:szCs w:val="32"/>
        </w:rPr>
      </w:pPr>
    </w:p>
    <w:p w14:paraId="1E83BE94" w14:textId="77777777" w:rsidR="00F57D1B" w:rsidRDefault="00F57D1B" w:rsidP="00F57D1B">
      <w:pPr>
        <w:tabs>
          <w:tab w:val="clear" w:pos="9266"/>
        </w:tabs>
        <w:spacing w:line="240" w:lineRule="auto"/>
        <w:ind w:left="0" w:right="0"/>
        <w:rPr>
          <w:rFonts w:cs="Arial"/>
        </w:rPr>
      </w:pPr>
      <w:r>
        <w:rPr>
          <w:rFonts w:cs="Arial"/>
        </w:rPr>
        <w:br w:type="page"/>
      </w:r>
    </w:p>
    <w:p w14:paraId="4079DC8B" w14:textId="34084656" w:rsidR="003E6367" w:rsidRPr="003E6367" w:rsidRDefault="003E6367" w:rsidP="003E6367">
      <w:pPr>
        <w:pStyle w:val="Pieddepage"/>
        <w:tabs>
          <w:tab w:val="clear" w:pos="9072"/>
          <w:tab w:val="left" w:pos="3990"/>
          <w:tab w:val="center" w:pos="7701"/>
        </w:tabs>
        <w:ind w:left="709"/>
        <w:jc w:val="center"/>
        <w:rPr>
          <w:color w:val="002B41"/>
          <w:kern w:val="28"/>
          <w:sz w:val="24"/>
          <w:szCs w:val="32"/>
        </w:rPr>
      </w:pPr>
      <w:r w:rsidRPr="003E6367">
        <w:rPr>
          <w:color w:val="002B41"/>
          <w:kern w:val="28"/>
          <w:sz w:val="24"/>
          <w:szCs w:val="32"/>
        </w:rPr>
        <w:lastRenderedPageBreak/>
        <w:t>R</w:t>
      </w:r>
      <w:r w:rsidR="003B4896">
        <w:rPr>
          <w:color w:val="002B41"/>
          <w:kern w:val="28"/>
          <w:sz w:val="24"/>
          <w:szCs w:val="32"/>
        </w:rPr>
        <w:t xml:space="preserve">evPAR HT par segment et marché - </w:t>
      </w:r>
      <w:r w:rsidR="00FE1D06">
        <w:rPr>
          <w:color w:val="002B41"/>
          <w:kern w:val="28"/>
          <w:sz w:val="24"/>
          <w:szCs w:val="32"/>
        </w:rPr>
        <w:t>3</w:t>
      </w:r>
      <w:r w:rsidRPr="003E6367">
        <w:rPr>
          <w:color w:val="002B41"/>
          <w:kern w:val="28"/>
          <w:sz w:val="24"/>
          <w:szCs w:val="32"/>
          <w:vertAlign w:val="superscript"/>
        </w:rPr>
        <w:t>ème</w:t>
      </w:r>
      <w:r w:rsidRPr="003E6367">
        <w:rPr>
          <w:color w:val="002B41"/>
          <w:kern w:val="28"/>
          <w:sz w:val="24"/>
          <w:szCs w:val="32"/>
        </w:rPr>
        <w:t xml:space="preserve"> trimestre 201</w:t>
      </w:r>
      <w:r w:rsidR="00C30A6B">
        <w:rPr>
          <w:color w:val="002B41"/>
          <w:kern w:val="28"/>
          <w:sz w:val="24"/>
          <w:szCs w:val="32"/>
        </w:rPr>
        <w:t>5</w:t>
      </w:r>
    </w:p>
    <w:p w14:paraId="1A7CCAB9" w14:textId="77777777" w:rsidR="003E6367" w:rsidRDefault="003E6367" w:rsidP="00060904">
      <w:pPr>
        <w:spacing w:before="120" w:line="240" w:lineRule="auto"/>
        <w:jc w:val="both"/>
      </w:pPr>
    </w:p>
    <w:bookmarkStart w:id="5" w:name="_MON_1467114791"/>
    <w:bookmarkEnd w:id="5"/>
    <w:p w14:paraId="5A7A7E06" w14:textId="345984D2" w:rsidR="003E6367" w:rsidRDefault="0005334F" w:rsidP="003B4896">
      <w:pPr>
        <w:spacing w:before="120" w:line="240" w:lineRule="auto"/>
        <w:ind w:left="-709"/>
        <w:jc w:val="center"/>
        <w:rPr>
          <w:rFonts w:cs="Arial"/>
        </w:rPr>
      </w:pPr>
      <w:r>
        <w:object w:dxaOrig="15595" w:dyaOrig="8356" w14:anchorId="56D6647D">
          <v:shape id="_x0000_i1029" type="#_x0000_t75" style="width:576.75pt;height:309pt" o:ole="">
            <v:imagedata r:id="rId22" o:title=""/>
          </v:shape>
          <o:OLEObject Type="Embed" ProgID="Excel.Sheet.12" ShapeID="_x0000_i1029" DrawAspect="Content" ObjectID="_1506348630" r:id="rId23"/>
        </w:object>
      </w:r>
    </w:p>
    <w:p w14:paraId="2F36A6CC" w14:textId="77777777" w:rsidR="003B4896" w:rsidRPr="00387A86" w:rsidRDefault="003B4896" w:rsidP="003B4896">
      <w:pPr>
        <w:pStyle w:val="Pieddepage"/>
        <w:tabs>
          <w:tab w:val="clear" w:pos="9072"/>
          <w:tab w:val="left" w:pos="3990"/>
          <w:tab w:val="center" w:pos="7701"/>
        </w:tabs>
        <w:ind w:left="1134"/>
        <w:rPr>
          <w:kern w:val="28"/>
          <w:sz w:val="20"/>
          <w:szCs w:val="32"/>
        </w:rPr>
      </w:pPr>
      <w:r w:rsidRPr="00387A86">
        <w:rPr>
          <w:b/>
          <w:kern w:val="28"/>
          <w:sz w:val="20"/>
          <w:szCs w:val="32"/>
        </w:rPr>
        <w:t>NCEE</w:t>
      </w:r>
      <w:r w:rsidRPr="00387A86">
        <w:rPr>
          <w:kern w:val="28"/>
          <w:sz w:val="20"/>
          <w:szCs w:val="32"/>
        </w:rPr>
        <w:t> : Europe du Nord, Centrale et de l’Est (ne comprend ni la France, ni l’Europe du Sud)</w:t>
      </w:r>
    </w:p>
    <w:p w14:paraId="5EA9A3C5" w14:textId="77777777" w:rsidR="003B4896" w:rsidRDefault="003B4896" w:rsidP="003B4896">
      <w:pPr>
        <w:pStyle w:val="Pieddepage"/>
        <w:tabs>
          <w:tab w:val="clear" w:pos="9072"/>
          <w:tab w:val="left" w:pos="3990"/>
          <w:tab w:val="center" w:pos="7701"/>
        </w:tabs>
        <w:ind w:left="1134"/>
        <w:rPr>
          <w:b/>
          <w:kern w:val="28"/>
          <w:sz w:val="20"/>
          <w:szCs w:val="32"/>
        </w:rPr>
      </w:pPr>
    </w:p>
    <w:p w14:paraId="2CFC973B" w14:textId="77777777" w:rsidR="003B4896" w:rsidRDefault="003B4896" w:rsidP="003B4896">
      <w:pPr>
        <w:pStyle w:val="Pieddepage"/>
        <w:tabs>
          <w:tab w:val="clear" w:pos="9072"/>
          <w:tab w:val="left" w:pos="3990"/>
          <w:tab w:val="center" w:pos="7701"/>
        </w:tabs>
        <w:ind w:left="1134"/>
        <w:rPr>
          <w:kern w:val="28"/>
          <w:sz w:val="20"/>
          <w:szCs w:val="32"/>
        </w:rPr>
      </w:pPr>
      <w:r w:rsidRPr="00387A86">
        <w:rPr>
          <w:b/>
          <w:kern w:val="28"/>
          <w:sz w:val="20"/>
          <w:szCs w:val="32"/>
        </w:rPr>
        <w:t>MMEA</w:t>
      </w:r>
      <w:r w:rsidRPr="00387A86">
        <w:rPr>
          <w:kern w:val="28"/>
          <w:sz w:val="20"/>
          <w:szCs w:val="32"/>
        </w:rPr>
        <w:t> : Méditerranée, Moyen-Orient, Afrique (comprend l’Europe du Sud)</w:t>
      </w:r>
    </w:p>
    <w:p w14:paraId="44A2A8E8" w14:textId="77777777" w:rsidR="003B4896" w:rsidRDefault="003B4896" w:rsidP="00C23428">
      <w:pPr>
        <w:pStyle w:val="Pieddepage"/>
        <w:tabs>
          <w:tab w:val="clear" w:pos="9072"/>
          <w:tab w:val="left" w:pos="3990"/>
          <w:tab w:val="center" w:pos="7701"/>
        </w:tabs>
        <w:ind w:left="1134"/>
        <w:rPr>
          <w:b/>
          <w:kern w:val="28"/>
          <w:sz w:val="20"/>
          <w:szCs w:val="32"/>
        </w:rPr>
      </w:pPr>
    </w:p>
    <w:p w14:paraId="62F05E95" w14:textId="77777777" w:rsidR="003E6367" w:rsidRDefault="003E6367" w:rsidP="00C23428">
      <w:pPr>
        <w:pStyle w:val="Pieddepage"/>
        <w:tabs>
          <w:tab w:val="clear" w:pos="9072"/>
          <w:tab w:val="left" w:pos="3990"/>
          <w:tab w:val="center" w:pos="7701"/>
        </w:tabs>
        <w:ind w:left="1134"/>
        <w:rPr>
          <w:kern w:val="28"/>
          <w:sz w:val="20"/>
          <w:szCs w:val="32"/>
        </w:rPr>
      </w:pPr>
      <w:r>
        <w:rPr>
          <w:b/>
          <w:kern w:val="28"/>
          <w:sz w:val="20"/>
          <w:szCs w:val="32"/>
        </w:rPr>
        <w:t>AsPac</w:t>
      </w:r>
      <w:r w:rsidRPr="00387A86">
        <w:rPr>
          <w:kern w:val="28"/>
          <w:sz w:val="20"/>
          <w:szCs w:val="32"/>
        </w:rPr>
        <w:t xml:space="preserve"> : </w:t>
      </w:r>
      <w:r>
        <w:rPr>
          <w:kern w:val="28"/>
          <w:sz w:val="20"/>
          <w:szCs w:val="32"/>
        </w:rPr>
        <w:t>Asie Pacifique</w:t>
      </w:r>
    </w:p>
    <w:p w14:paraId="3A695398" w14:textId="77777777" w:rsidR="003E6367" w:rsidRPr="00387A86" w:rsidRDefault="003E6367" w:rsidP="00C23428">
      <w:pPr>
        <w:pStyle w:val="Pieddepage"/>
        <w:tabs>
          <w:tab w:val="clear" w:pos="9072"/>
          <w:tab w:val="left" w:pos="3990"/>
          <w:tab w:val="center" w:pos="7701"/>
        </w:tabs>
        <w:ind w:left="1134"/>
        <w:rPr>
          <w:kern w:val="28"/>
          <w:sz w:val="20"/>
          <w:szCs w:val="32"/>
        </w:rPr>
      </w:pPr>
    </w:p>
    <w:p w14:paraId="75B8C369" w14:textId="77777777" w:rsidR="003E6367" w:rsidRDefault="003E6367" w:rsidP="00C23428">
      <w:pPr>
        <w:pStyle w:val="Pieddepage"/>
        <w:tabs>
          <w:tab w:val="clear" w:pos="4536"/>
          <w:tab w:val="clear" w:pos="9072"/>
          <w:tab w:val="left" w:pos="3555"/>
        </w:tabs>
        <w:ind w:left="1134"/>
        <w:rPr>
          <w:kern w:val="28"/>
          <w:sz w:val="20"/>
          <w:szCs w:val="32"/>
        </w:rPr>
      </w:pPr>
      <w:r>
        <w:rPr>
          <w:b/>
          <w:kern w:val="28"/>
          <w:sz w:val="20"/>
          <w:szCs w:val="32"/>
        </w:rPr>
        <w:t>Amériques</w:t>
      </w:r>
      <w:r w:rsidRPr="00387A86">
        <w:rPr>
          <w:kern w:val="28"/>
          <w:sz w:val="20"/>
          <w:szCs w:val="32"/>
        </w:rPr>
        <w:t xml:space="preserve"> : </w:t>
      </w:r>
      <w:r>
        <w:rPr>
          <w:kern w:val="28"/>
          <w:sz w:val="20"/>
          <w:szCs w:val="32"/>
        </w:rPr>
        <w:t>Amérique du Nord, Amérique centrale, Amérique du Sud</w:t>
      </w:r>
    </w:p>
    <w:p w14:paraId="1FCFF954" w14:textId="77777777" w:rsidR="003B4896" w:rsidRDefault="003B4896">
      <w:pPr>
        <w:tabs>
          <w:tab w:val="clear" w:pos="9266"/>
        </w:tabs>
        <w:spacing w:line="240" w:lineRule="auto"/>
        <w:ind w:left="0" w:right="0"/>
        <w:rPr>
          <w:color w:val="002B41"/>
          <w:kern w:val="28"/>
          <w:sz w:val="24"/>
          <w:szCs w:val="32"/>
        </w:rPr>
      </w:pPr>
      <w:r>
        <w:rPr>
          <w:color w:val="002B41"/>
          <w:kern w:val="28"/>
          <w:sz w:val="24"/>
          <w:szCs w:val="32"/>
        </w:rPr>
        <w:br w:type="page"/>
      </w:r>
    </w:p>
    <w:p w14:paraId="3002D818" w14:textId="0BFDB66B" w:rsidR="003E6367" w:rsidRPr="003E6367" w:rsidRDefault="003E6367" w:rsidP="003E6367">
      <w:pPr>
        <w:pStyle w:val="Pieddepage"/>
        <w:tabs>
          <w:tab w:val="clear" w:pos="9072"/>
          <w:tab w:val="left" w:pos="3990"/>
          <w:tab w:val="center" w:pos="7701"/>
        </w:tabs>
        <w:ind w:left="709"/>
        <w:jc w:val="center"/>
        <w:rPr>
          <w:color w:val="002B41"/>
          <w:kern w:val="28"/>
          <w:sz w:val="24"/>
          <w:szCs w:val="32"/>
        </w:rPr>
      </w:pPr>
      <w:r w:rsidRPr="003E6367">
        <w:rPr>
          <w:color w:val="002B41"/>
          <w:kern w:val="28"/>
          <w:sz w:val="24"/>
          <w:szCs w:val="32"/>
        </w:rPr>
        <w:lastRenderedPageBreak/>
        <w:t>R</w:t>
      </w:r>
      <w:r w:rsidR="003B4896">
        <w:rPr>
          <w:color w:val="002B41"/>
          <w:kern w:val="28"/>
          <w:sz w:val="24"/>
          <w:szCs w:val="32"/>
        </w:rPr>
        <w:t xml:space="preserve">evPAR HT par segment et marché - </w:t>
      </w:r>
      <w:r w:rsidR="00FE1D06">
        <w:rPr>
          <w:color w:val="002B41"/>
          <w:kern w:val="28"/>
          <w:sz w:val="24"/>
          <w:szCs w:val="32"/>
        </w:rPr>
        <w:t>30</w:t>
      </w:r>
      <w:r w:rsidR="00C30A6B">
        <w:rPr>
          <w:color w:val="002B41"/>
          <w:kern w:val="28"/>
          <w:sz w:val="24"/>
          <w:szCs w:val="32"/>
        </w:rPr>
        <w:t xml:space="preserve"> </w:t>
      </w:r>
      <w:r w:rsidRPr="003E6367">
        <w:rPr>
          <w:color w:val="002B41"/>
          <w:kern w:val="28"/>
          <w:sz w:val="24"/>
          <w:szCs w:val="32"/>
        </w:rPr>
        <w:t>se</w:t>
      </w:r>
      <w:r w:rsidR="00FE1D06">
        <w:rPr>
          <w:color w:val="002B41"/>
          <w:kern w:val="28"/>
          <w:sz w:val="24"/>
          <w:szCs w:val="32"/>
        </w:rPr>
        <w:t>ptembre</w:t>
      </w:r>
      <w:r w:rsidRPr="003E6367">
        <w:rPr>
          <w:color w:val="002B41"/>
          <w:kern w:val="28"/>
          <w:sz w:val="24"/>
          <w:szCs w:val="32"/>
        </w:rPr>
        <w:t xml:space="preserve"> 201</w:t>
      </w:r>
      <w:r w:rsidR="003B4896">
        <w:rPr>
          <w:color w:val="002B41"/>
          <w:kern w:val="28"/>
          <w:sz w:val="24"/>
          <w:szCs w:val="32"/>
        </w:rPr>
        <w:t>5</w:t>
      </w:r>
    </w:p>
    <w:p w14:paraId="67937CE4" w14:textId="77777777" w:rsidR="003E6367" w:rsidRDefault="003E6367" w:rsidP="00060904">
      <w:pPr>
        <w:spacing w:before="120" w:line="240" w:lineRule="auto"/>
        <w:jc w:val="both"/>
      </w:pPr>
    </w:p>
    <w:bookmarkStart w:id="6" w:name="_MON_1467114865"/>
    <w:bookmarkEnd w:id="6"/>
    <w:p w14:paraId="5A1271B8" w14:textId="016DA1B8" w:rsidR="003E6367" w:rsidRDefault="0005334F" w:rsidP="003E6367">
      <w:pPr>
        <w:spacing w:before="120" w:line="240" w:lineRule="auto"/>
        <w:ind w:left="-709"/>
        <w:jc w:val="both"/>
      </w:pPr>
      <w:r>
        <w:object w:dxaOrig="15595" w:dyaOrig="8239" w14:anchorId="622F3822">
          <v:shape id="_x0000_i1030" type="#_x0000_t75" style="width:580.5pt;height:306.75pt" o:ole="">
            <v:imagedata r:id="rId24" o:title=""/>
          </v:shape>
          <o:OLEObject Type="Embed" ProgID="Excel.Sheet.12" ShapeID="_x0000_i1030" DrawAspect="Content" ObjectID="_1506348631" r:id="rId25"/>
        </w:object>
      </w:r>
    </w:p>
    <w:p w14:paraId="14736D3A" w14:textId="77777777" w:rsidR="003B4896" w:rsidRPr="00387A86" w:rsidRDefault="003B4896" w:rsidP="003B4896">
      <w:pPr>
        <w:pStyle w:val="Pieddepage"/>
        <w:tabs>
          <w:tab w:val="clear" w:pos="9072"/>
          <w:tab w:val="left" w:pos="3990"/>
          <w:tab w:val="center" w:pos="7701"/>
        </w:tabs>
        <w:ind w:left="1134"/>
        <w:rPr>
          <w:kern w:val="28"/>
          <w:sz w:val="20"/>
          <w:szCs w:val="32"/>
        </w:rPr>
      </w:pPr>
      <w:r w:rsidRPr="00387A86">
        <w:rPr>
          <w:b/>
          <w:kern w:val="28"/>
          <w:sz w:val="20"/>
          <w:szCs w:val="32"/>
        </w:rPr>
        <w:t>NCEE</w:t>
      </w:r>
      <w:r w:rsidRPr="00387A86">
        <w:rPr>
          <w:kern w:val="28"/>
          <w:sz w:val="20"/>
          <w:szCs w:val="32"/>
        </w:rPr>
        <w:t> : Europe du Nord, Centrale et de l’Est (ne comprend ni la France, ni l’Europe du Sud)</w:t>
      </w:r>
    </w:p>
    <w:p w14:paraId="2B321440" w14:textId="77777777" w:rsidR="003B4896" w:rsidRPr="00387A86" w:rsidRDefault="003B4896" w:rsidP="003B4896">
      <w:pPr>
        <w:pStyle w:val="Pieddepage"/>
        <w:tabs>
          <w:tab w:val="clear" w:pos="4536"/>
          <w:tab w:val="clear" w:pos="9072"/>
          <w:tab w:val="left" w:pos="3555"/>
        </w:tabs>
        <w:ind w:left="1134"/>
        <w:rPr>
          <w:kern w:val="28"/>
          <w:sz w:val="20"/>
          <w:szCs w:val="32"/>
        </w:rPr>
      </w:pPr>
    </w:p>
    <w:p w14:paraId="3B3FAE59" w14:textId="77777777" w:rsidR="003B4896" w:rsidRDefault="003B4896" w:rsidP="003B4896">
      <w:pPr>
        <w:pStyle w:val="Pieddepage"/>
        <w:tabs>
          <w:tab w:val="clear" w:pos="9072"/>
          <w:tab w:val="left" w:pos="3990"/>
          <w:tab w:val="center" w:pos="7701"/>
        </w:tabs>
        <w:ind w:left="1134"/>
        <w:rPr>
          <w:kern w:val="28"/>
          <w:sz w:val="20"/>
          <w:szCs w:val="32"/>
        </w:rPr>
      </w:pPr>
      <w:r w:rsidRPr="00387A86">
        <w:rPr>
          <w:b/>
          <w:kern w:val="28"/>
          <w:sz w:val="20"/>
          <w:szCs w:val="32"/>
        </w:rPr>
        <w:t>MMEA</w:t>
      </w:r>
      <w:r w:rsidRPr="00387A86">
        <w:rPr>
          <w:kern w:val="28"/>
          <w:sz w:val="20"/>
          <w:szCs w:val="32"/>
        </w:rPr>
        <w:t> : Méditerranée, Moyen-Orient, Afrique (comprend l’Europe du Sud)</w:t>
      </w:r>
    </w:p>
    <w:p w14:paraId="23086766" w14:textId="77777777" w:rsidR="003B4896" w:rsidRDefault="003B4896" w:rsidP="00C23428">
      <w:pPr>
        <w:pStyle w:val="Pieddepage"/>
        <w:tabs>
          <w:tab w:val="clear" w:pos="9072"/>
          <w:tab w:val="left" w:pos="3990"/>
          <w:tab w:val="center" w:pos="7701"/>
        </w:tabs>
        <w:ind w:left="1134"/>
        <w:rPr>
          <w:b/>
          <w:kern w:val="28"/>
          <w:sz w:val="20"/>
          <w:szCs w:val="32"/>
        </w:rPr>
      </w:pPr>
    </w:p>
    <w:p w14:paraId="14301EF9" w14:textId="77777777" w:rsidR="003E6367" w:rsidRDefault="003E6367" w:rsidP="00C23428">
      <w:pPr>
        <w:pStyle w:val="Pieddepage"/>
        <w:tabs>
          <w:tab w:val="clear" w:pos="9072"/>
          <w:tab w:val="left" w:pos="3990"/>
          <w:tab w:val="center" w:pos="7701"/>
        </w:tabs>
        <w:ind w:left="1134"/>
        <w:rPr>
          <w:kern w:val="28"/>
          <w:sz w:val="20"/>
          <w:szCs w:val="32"/>
        </w:rPr>
      </w:pPr>
      <w:r>
        <w:rPr>
          <w:b/>
          <w:kern w:val="28"/>
          <w:sz w:val="20"/>
          <w:szCs w:val="32"/>
        </w:rPr>
        <w:t>AsPac</w:t>
      </w:r>
      <w:r w:rsidRPr="00387A86">
        <w:rPr>
          <w:kern w:val="28"/>
          <w:sz w:val="20"/>
          <w:szCs w:val="32"/>
        </w:rPr>
        <w:t xml:space="preserve"> : </w:t>
      </w:r>
      <w:r>
        <w:rPr>
          <w:kern w:val="28"/>
          <w:sz w:val="20"/>
          <w:szCs w:val="32"/>
        </w:rPr>
        <w:t>Asie Pacifique</w:t>
      </w:r>
    </w:p>
    <w:p w14:paraId="1520E97C" w14:textId="77777777" w:rsidR="003E6367" w:rsidRPr="00387A86" w:rsidRDefault="003E6367" w:rsidP="00C23428">
      <w:pPr>
        <w:pStyle w:val="Pieddepage"/>
        <w:tabs>
          <w:tab w:val="clear" w:pos="9072"/>
          <w:tab w:val="left" w:pos="3990"/>
          <w:tab w:val="center" w:pos="7701"/>
        </w:tabs>
        <w:ind w:left="1134"/>
        <w:rPr>
          <w:kern w:val="28"/>
          <w:sz w:val="20"/>
          <w:szCs w:val="32"/>
        </w:rPr>
      </w:pPr>
    </w:p>
    <w:p w14:paraId="61D5B5D0" w14:textId="749071D7" w:rsidR="00EB54CF" w:rsidRDefault="003E6367" w:rsidP="00EB54CF">
      <w:pPr>
        <w:pStyle w:val="Pieddepage"/>
        <w:tabs>
          <w:tab w:val="clear" w:pos="4536"/>
          <w:tab w:val="clear" w:pos="9072"/>
          <w:tab w:val="left" w:pos="3555"/>
        </w:tabs>
        <w:ind w:left="1134"/>
        <w:rPr>
          <w:kern w:val="28"/>
          <w:sz w:val="20"/>
          <w:szCs w:val="32"/>
        </w:rPr>
      </w:pPr>
      <w:r>
        <w:rPr>
          <w:b/>
          <w:kern w:val="28"/>
          <w:sz w:val="20"/>
          <w:szCs w:val="32"/>
        </w:rPr>
        <w:t>Amériques</w:t>
      </w:r>
      <w:r w:rsidRPr="00387A86">
        <w:rPr>
          <w:kern w:val="28"/>
          <w:sz w:val="20"/>
          <w:szCs w:val="32"/>
        </w:rPr>
        <w:t xml:space="preserve"> : </w:t>
      </w:r>
      <w:r>
        <w:rPr>
          <w:kern w:val="28"/>
          <w:sz w:val="20"/>
          <w:szCs w:val="32"/>
        </w:rPr>
        <w:t>Amérique du Nord, Amérique centrale, Amérique du Sud</w:t>
      </w:r>
    </w:p>
    <w:sectPr w:rsidR="00EB54CF" w:rsidSect="008950A7">
      <w:headerReference w:type="even" r:id="rId26"/>
      <w:headerReference w:type="default" r:id="rId27"/>
      <w:footerReference w:type="even" r:id="rId28"/>
      <w:footerReference w:type="default" r:id="rId29"/>
      <w:headerReference w:type="first" r:id="rId30"/>
      <w:footerReference w:type="first" r:id="rId31"/>
      <w:pgSz w:w="11900" w:h="16840"/>
      <w:pgMar w:top="1843" w:right="851" w:bottom="1560" w:left="851" w:header="708" w:footer="8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A22D2" w14:textId="77777777" w:rsidR="002C3D61" w:rsidRDefault="002C3D61" w:rsidP="00C51AF5">
      <w:r>
        <w:separator/>
      </w:r>
    </w:p>
  </w:endnote>
  <w:endnote w:type="continuationSeparator" w:id="0">
    <w:p w14:paraId="3B4C058E" w14:textId="77777777" w:rsidR="002C3D61" w:rsidRDefault="002C3D61" w:rsidP="00C5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Sans">
    <w:altName w:val="Times New Roman"/>
    <w:charset w:val="00"/>
    <w:family w:val="auto"/>
    <w:pitch w:val="variable"/>
    <w:sig w:usb0="800000AF" w:usb1="0000204A" w:usb2="00000000" w:usb3="00000000" w:csb0="00000093" w:csb1="00000000"/>
  </w:font>
  <w:font w:name="HelveticaNeueLTStd-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700F1" w14:textId="77777777" w:rsidR="003F5934" w:rsidRDefault="003F593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220833"/>
      <w:docPartObj>
        <w:docPartGallery w:val="Page Numbers (Bottom of Page)"/>
        <w:docPartUnique/>
      </w:docPartObj>
    </w:sdtPr>
    <w:sdtEndPr/>
    <w:sdtContent>
      <w:p w14:paraId="2B116889" w14:textId="18EAD721" w:rsidR="00965DE9" w:rsidRPr="00ED7111" w:rsidRDefault="00ED7111" w:rsidP="00ED7111">
        <w:pPr>
          <w:pStyle w:val="Pieddepage"/>
          <w:jc w:val="center"/>
          <w:rPr>
            <w:sz w:val="20"/>
          </w:rPr>
        </w:pPr>
        <w:r>
          <w:rPr>
            <w:noProof/>
          </w:rPr>
          <w:drawing>
            <wp:anchor distT="0" distB="0" distL="114300" distR="114300" simplePos="0" relativeHeight="251663360" behindDoc="1" locked="0" layoutInCell="1" allowOverlap="1" wp14:anchorId="1B9265D1" wp14:editId="4E515034">
              <wp:simplePos x="0" y="0"/>
              <wp:positionH relativeFrom="column">
                <wp:posOffset>-125095</wp:posOffset>
              </wp:positionH>
              <wp:positionV relativeFrom="page">
                <wp:posOffset>10068891</wp:posOffset>
              </wp:positionV>
              <wp:extent cx="7028180" cy="483235"/>
              <wp:effectExtent l="0" t="0" r="0" b="0"/>
              <wp:wrapNone/>
              <wp:docPr id="60" name="Image 60" descr="R:Users:raoulsinier:Documents:Travail:Accor:x:fr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sers:raoulsinier:Documents:Travail:Accor:x:fri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006471F2" w:rsidRPr="006471F2">
          <w:rPr>
            <w:sz w:val="20"/>
          </w:rPr>
          <w:fldChar w:fldCharType="begin"/>
        </w:r>
        <w:r w:rsidR="006471F2" w:rsidRPr="006471F2">
          <w:rPr>
            <w:sz w:val="20"/>
          </w:rPr>
          <w:instrText>PAGE   \* MERGEFORMAT</w:instrText>
        </w:r>
        <w:r w:rsidR="006471F2" w:rsidRPr="006471F2">
          <w:rPr>
            <w:sz w:val="20"/>
          </w:rPr>
          <w:fldChar w:fldCharType="separate"/>
        </w:r>
        <w:r w:rsidR="003F5934">
          <w:rPr>
            <w:noProof/>
            <w:sz w:val="20"/>
          </w:rPr>
          <w:t>3</w:t>
        </w:r>
        <w:r w:rsidR="006471F2" w:rsidRPr="006471F2">
          <w:rPr>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82BC7" w14:textId="77777777" w:rsidR="003F5934" w:rsidRDefault="003F593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7C4DF" w14:textId="77777777" w:rsidR="002C3D61" w:rsidRDefault="002C3D61" w:rsidP="00C51AF5">
      <w:r>
        <w:separator/>
      </w:r>
    </w:p>
  </w:footnote>
  <w:footnote w:type="continuationSeparator" w:id="0">
    <w:p w14:paraId="64A8B5A5" w14:textId="77777777" w:rsidR="002C3D61" w:rsidRDefault="002C3D61" w:rsidP="00C51AF5">
      <w:r>
        <w:continuationSeparator/>
      </w:r>
    </w:p>
  </w:footnote>
  <w:footnote w:id="1">
    <w:p w14:paraId="7C3CADCA" w14:textId="4CB22AC9" w:rsidR="00965DE9" w:rsidRDefault="00B93487" w:rsidP="00A37B10">
      <w:pPr>
        <w:pStyle w:val="Notedebasdepage"/>
        <w:tabs>
          <w:tab w:val="left" w:pos="8931"/>
        </w:tabs>
        <w:rPr>
          <w:rFonts w:ascii="Arial" w:hAnsi="Arial" w:cs="Arial"/>
          <w:sz w:val="16"/>
        </w:rPr>
      </w:pPr>
      <w:r>
        <w:rPr>
          <w:rFonts w:ascii="Arial" w:hAnsi="Arial" w:cs="Arial"/>
          <w:sz w:val="16"/>
          <w:vertAlign w:val="superscript"/>
        </w:rPr>
        <w:t>1</w:t>
      </w:r>
      <w:r w:rsidR="00A37B10" w:rsidRPr="00AE3AD4">
        <w:rPr>
          <w:rFonts w:ascii="Arial" w:hAnsi="Arial" w:cs="Arial"/>
          <w:sz w:val="16"/>
        </w:rPr>
        <w:t xml:space="preserve"> </w:t>
      </w:r>
      <w:r w:rsidR="00A37B10">
        <w:rPr>
          <w:rFonts w:ascii="Arial" w:hAnsi="Arial" w:cs="Arial"/>
          <w:sz w:val="16"/>
        </w:rPr>
        <w:t>Pour HotelServices, le</w:t>
      </w:r>
      <w:r w:rsidR="00A37B10" w:rsidRPr="00AE3AD4">
        <w:rPr>
          <w:rFonts w:ascii="Arial" w:hAnsi="Arial" w:cs="Arial"/>
          <w:sz w:val="16"/>
        </w:rPr>
        <w:t xml:space="preserve"> chiffre d’affaires en données comparables inclut les redevances liées au </w:t>
      </w:r>
      <w:r w:rsidR="00A37B10">
        <w:rPr>
          <w:rFonts w:ascii="Arial" w:hAnsi="Arial" w:cs="Arial"/>
          <w:sz w:val="16"/>
        </w:rPr>
        <w:t>d</w:t>
      </w:r>
      <w:r w:rsidR="00A37B10" w:rsidRPr="00AE3AD4">
        <w:rPr>
          <w:rFonts w:ascii="Arial" w:hAnsi="Arial" w:cs="Arial"/>
          <w:sz w:val="16"/>
        </w:rPr>
        <w:t>éveloppement, à taux de change constant.</w:t>
      </w:r>
    </w:p>
    <w:p w14:paraId="162718D3" w14:textId="6BD3B0F4" w:rsidR="00A37B10" w:rsidRPr="00A37B10" w:rsidRDefault="00B93487" w:rsidP="00A37B10">
      <w:pPr>
        <w:pStyle w:val="Notedebasdepage"/>
        <w:tabs>
          <w:tab w:val="left" w:pos="8931"/>
        </w:tabs>
        <w:rPr>
          <w:rFonts w:ascii="Arial" w:hAnsi="Arial" w:cs="Arial"/>
        </w:rPr>
      </w:pPr>
      <w:r>
        <w:rPr>
          <w:sz w:val="16"/>
          <w:vertAlign w:val="superscript"/>
        </w:rPr>
        <w:t>2</w:t>
      </w:r>
      <w:r w:rsidR="00A37B10" w:rsidRPr="00051C7A">
        <w:rPr>
          <w:rFonts w:ascii="Arial" w:hAnsi="Arial" w:cs="Arial"/>
          <w:sz w:val="14"/>
        </w:rPr>
        <w:t xml:space="preserve"> </w:t>
      </w:r>
      <w:r w:rsidR="00A37B10" w:rsidRPr="00051C7A">
        <w:rPr>
          <w:rFonts w:ascii="Arial" w:hAnsi="Arial" w:cs="Arial"/>
          <w:sz w:val="16"/>
        </w:rPr>
        <w:t>Le volume d’activité correspond au chiffre d’affaires des hôtels en propriété, en location, en contrat de management et au chiffre d’affaires hébergement des hôtels en contrats de franchise - variation publiée hors effets de 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C1101" w14:textId="389BDA98" w:rsidR="003F5934" w:rsidRDefault="003F5934">
    <w:pPr>
      <w:pStyle w:val="En-tte"/>
    </w:pPr>
    <w:r>
      <w:rPr>
        <w:noProof/>
      </w:rPr>
      <w:pict w14:anchorId="1E7990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44396" o:spid="_x0000_s124930" type="#_x0000_t136" style="position:absolute;left:0;text-align:left;margin-left:0;margin-top:0;width:665.6pt;height:53.25pt;rotation:315;z-index:-251649024;mso-position-horizontal:center;mso-position-horizontal-relative:margin;mso-position-vertical:center;mso-position-vertical-relative:margin" o:allowincell="f" fillcolor="red" stroked="f">
          <v:fill opacity=".5"/>
          <v:textpath style="font-family:&quot;Trebuchet MS&quot;;font-size:1pt" string="SOUS EMBARGO JUSQU'A 17h45"/>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749B7" w14:textId="0BAE6DE6" w:rsidR="00965DE9" w:rsidRDefault="003F5934" w:rsidP="00C51AF5">
    <w:pPr>
      <w:pStyle w:val="En-tte"/>
    </w:pPr>
    <w:r>
      <w:rPr>
        <w:noProof/>
      </w:rPr>
      <w:pict w14:anchorId="3C25A8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44397" o:spid="_x0000_s124931" type="#_x0000_t136" style="position:absolute;left:0;text-align:left;margin-left:0;margin-top:0;width:665.6pt;height:53.25pt;rotation:315;z-index:-251646976;mso-position-horizontal:center;mso-position-horizontal-relative:margin;mso-position-vertical:center;mso-position-vertical-relative:margin" o:allowincell="f" fillcolor="red" stroked="f">
          <v:fill opacity=".5"/>
          <v:textpath style="font-family:&quot;Trebuchet MS&quot;;font-size:1pt" string="SOUS EMBARGO JUSQU'A 17h45"/>
        </v:shape>
      </w:pict>
    </w:r>
    <w:r w:rsidR="00965DE9">
      <w:rPr>
        <w:noProof/>
      </w:rPr>
      <w:drawing>
        <wp:anchor distT="0" distB="0" distL="114300" distR="114300" simplePos="0" relativeHeight="251660288" behindDoc="1" locked="0" layoutInCell="1" allowOverlap="1" wp14:anchorId="4A5C4929" wp14:editId="56E5B35A">
          <wp:simplePos x="0" y="0"/>
          <wp:positionH relativeFrom="column">
            <wp:posOffset>-515620</wp:posOffset>
          </wp:positionH>
          <wp:positionV relativeFrom="page">
            <wp:posOffset>0</wp:posOffset>
          </wp:positionV>
          <wp:extent cx="7560000" cy="850516"/>
          <wp:effectExtent l="0" t="0" r="0" b="0"/>
          <wp:wrapNone/>
          <wp:docPr id="5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85051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C71CC" w14:textId="746E0A94" w:rsidR="00965DE9" w:rsidRDefault="003F5934" w:rsidP="00C51AF5">
    <w:pPr>
      <w:pStyle w:val="En-tte"/>
    </w:pPr>
    <w:r>
      <w:rPr>
        <w:noProof/>
      </w:rPr>
      <w:pict w14:anchorId="2E0442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44395" o:spid="_x0000_s124929" type="#_x0000_t136" style="position:absolute;left:0;text-align:left;margin-left:0;margin-top:0;width:665.6pt;height:53.25pt;rotation:315;z-index:-251651072;mso-position-horizontal:center;mso-position-horizontal-relative:margin;mso-position-vertical:center;mso-position-vertical-relative:margin" o:allowincell="f" fillcolor="red" stroked="f">
          <v:fill opacity=".5"/>
          <v:textpath style="font-family:&quot;Trebuchet MS&quot;;font-size:1pt" string="SOUS EMBARGO JUSQU'A 17h45"/>
        </v:shape>
      </w:pict>
    </w:r>
    <w:r w:rsidR="00965DE9">
      <w:rPr>
        <w:noProof/>
      </w:rPr>
      <w:drawing>
        <wp:anchor distT="0" distB="0" distL="114300" distR="114300" simplePos="0" relativeHeight="251661312" behindDoc="1" locked="0" layoutInCell="1" allowOverlap="1" wp14:anchorId="174AA5C6" wp14:editId="66653C34">
          <wp:simplePos x="0" y="0"/>
          <wp:positionH relativeFrom="column">
            <wp:posOffset>-541655</wp:posOffset>
          </wp:positionH>
          <wp:positionV relativeFrom="page">
            <wp:posOffset>7950</wp:posOffset>
          </wp:positionV>
          <wp:extent cx="7560310" cy="1910281"/>
          <wp:effectExtent l="0" t="0" r="0" b="0"/>
          <wp:wrapNone/>
          <wp:docPr id="61" name="Image 1" descr="Description : Description : Description : Description : Description : R:Users:raoulsinier:Documents:Travail:Accor:x:CP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Description : Description : R:Users:raoulsinier:Documents:Travail:Accor:x:CPS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9305"/>
                  <a:stretch/>
                </pic:blipFill>
                <pic:spPr bwMode="auto">
                  <a:xfrm>
                    <a:off x="0" y="0"/>
                    <a:ext cx="7560310" cy="19102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E089BE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3633ED"/>
    <w:multiLevelType w:val="hybridMultilevel"/>
    <w:tmpl w:val="A1E0944A"/>
    <w:lvl w:ilvl="0" w:tplc="4EE2967C">
      <w:start w:val="1"/>
      <w:numFmt w:val="bullet"/>
      <w:pStyle w:val="Texteavecpuces"/>
      <w:lvlText w:val=""/>
      <w:lvlJc w:val="left"/>
      <w:pPr>
        <w:tabs>
          <w:tab w:val="num" w:pos="3656"/>
        </w:tabs>
        <w:ind w:left="3656" w:hanging="360"/>
      </w:pPr>
      <w:rPr>
        <w:rFonts w:ascii="Symbol" w:hAnsi="Symbol" w:hint="default"/>
        <w:color w:val="E6A500"/>
      </w:rPr>
    </w:lvl>
    <w:lvl w:ilvl="1" w:tplc="0003040C">
      <w:start w:val="1"/>
      <w:numFmt w:val="bullet"/>
      <w:lvlText w:val="o"/>
      <w:lvlJc w:val="left"/>
      <w:pPr>
        <w:tabs>
          <w:tab w:val="num" w:pos="4666"/>
        </w:tabs>
        <w:ind w:left="4666" w:hanging="360"/>
      </w:pPr>
      <w:rPr>
        <w:rFonts w:ascii="Courier New" w:hAnsi="Courier New" w:hint="default"/>
      </w:rPr>
    </w:lvl>
    <w:lvl w:ilvl="2" w:tplc="0005040C" w:tentative="1">
      <w:start w:val="1"/>
      <w:numFmt w:val="bullet"/>
      <w:lvlText w:val=""/>
      <w:lvlJc w:val="left"/>
      <w:pPr>
        <w:tabs>
          <w:tab w:val="num" w:pos="5386"/>
        </w:tabs>
        <w:ind w:left="5386" w:hanging="360"/>
      </w:pPr>
      <w:rPr>
        <w:rFonts w:ascii="Wingdings" w:hAnsi="Wingdings" w:hint="default"/>
      </w:rPr>
    </w:lvl>
    <w:lvl w:ilvl="3" w:tplc="0001040C">
      <w:start w:val="1"/>
      <w:numFmt w:val="bullet"/>
      <w:lvlText w:val=""/>
      <w:lvlJc w:val="left"/>
      <w:pPr>
        <w:tabs>
          <w:tab w:val="num" w:pos="6106"/>
        </w:tabs>
        <w:ind w:left="6106" w:hanging="360"/>
      </w:pPr>
      <w:rPr>
        <w:rFonts w:ascii="Symbol" w:hAnsi="Symbol" w:hint="default"/>
      </w:rPr>
    </w:lvl>
    <w:lvl w:ilvl="4" w:tplc="0003040C" w:tentative="1">
      <w:start w:val="1"/>
      <w:numFmt w:val="bullet"/>
      <w:lvlText w:val="o"/>
      <w:lvlJc w:val="left"/>
      <w:pPr>
        <w:tabs>
          <w:tab w:val="num" w:pos="6826"/>
        </w:tabs>
        <w:ind w:left="6826" w:hanging="360"/>
      </w:pPr>
      <w:rPr>
        <w:rFonts w:ascii="Courier New" w:hAnsi="Courier New" w:hint="default"/>
      </w:rPr>
    </w:lvl>
    <w:lvl w:ilvl="5" w:tplc="0005040C" w:tentative="1">
      <w:start w:val="1"/>
      <w:numFmt w:val="bullet"/>
      <w:lvlText w:val=""/>
      <w:lvlJc w:val="left"/>
      <w:pPr>
        <w:tabs>
          <w:tab w:val="num" w:pos="7546"/>
        </w:tabs>
        <w:ind w:left="7546" w:hanging="360"/>
      </w:pPr>
      <w:rPr>
        <w:rFonts w:ascii="Wingdings" w:hAnsi="Wingdings" w:hint="default"/>
      </w:rPr>
    </w:lvl>
    <w:lvl w:ilvl="6" w:tplc="0001040C" w:tentative="1">
      <w:start w:val="1"/>
      <w:numFmt w:val="bullet"/>
      <w:lvlText w:val=""/>
      <w:lvlJc w:val="left"/>
      <w:pPr>
        <w:tabs>
          <w:tab w:val="num" w:pos="8266"/>
        </w:tabs>
        <w:ind w:left="8266" w:hanging="360"/>
      </w:pPr>
      <w:rPr>
        <w:rFonts w:ascii="Symbol" w:hAnsi="Symbol" w:hint="default"/>
      </w:rPr>
    </w:lvl>
    <w:lvl w:ilvl="7" w:tplc="0003040C" w:tentative="1">
      <w:start w:val="1"/>
      <w:numFmt w:val="bullet"/>
      <w:lvlText w:val="o"/>
      <w:lvlJc w:val="left"/>
      <w:pPr>
        <w:tabs>
          <w:tab w:val="num" w:pos="8986"/>
        </w:tabs>
        <w:ind w:left="8986" w:hanging="360"/>
      </w:pPr>
      <w:rPr>
        <w:rFonts w:ascii="Courier New" w:hAnsi="Courier New" w:hint="default"/>
      </w:rPr>
    </w:lvl>
    <w:lvl w:ilvl="8" w:tplc="0005040C" w:tentative="1">
      <w:start w:val="1"/>
      <w:numFmt w:val="bullet"/>
      <w:lvlText w:val=""/>
      <w:lvlJc w:val="left"/>
      <w:pPr>
        <w:tabs>
          <w:tab w:val="num" w:pos="9706"/>
        </w:tabs>
        <w:ind w:left="9706" w:hanging="360"/>
      </w:pPr>
      <w:rPr>
        <w:rFonts w:ascii="Wingdings" w:hAnsi="Wingdings" w:hint="default"/>
      </w:rPr>
    </w:lvl>
  </w:abstractNum>
  <w:abstractNum w:abstractNumId="2" w15:restartNumberingAfterBreak="0">
    <w:nsid w:val="08972ED8"/>
    <w:multiLevelType w:val="hybridMultilevel"/>
    <w:tmpl w:val="3F96EDFA"/>
    <w:lvl w:ilvl="0" w:tplc="507619CA">
      <w:start w:val="1"/>
      <w:numFmt w:val="bullet"/>
      <w:lvlText w:val="-"/>
      <w:lvlJc w:val="left"/>
      <w:pPr>
        <w:ind w:left="1713" w:hanging="360"/>
      </w:pPr>
      <w:rPr>
        <w:rFonts w:ascii="Trebuchet MS" w:hAnsi="Trebuchet M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 w15:restartNumberingAfterBreak="0">
    <w:nsid w:val="19EF1E56"/>
    <w:multiLevelType w:val="hybridMultilevel"/>
    <w:tmpl w:val="3F1A59CA"/>
    <w:lvl w:ilvl="0" w:tplc="A5E831A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15:restartNumberingAfterBreak="0">
    <w:nsid w:val="22317A40"/>
    <w:multiLevelType w:val="hybridMultilevel"/>
    <w:tmpl w:val="43D46C7A"/>
    <w:lvl w:ilvl="0" w:tplc="DE98F32A">
      <w:start w:val="1"/>
      <w:numFmt w:val="bullet"/>
      <w:pStyle w:val="Normal"/>
      <w:lvlText w:val="-"/>
      <w:lvlJc w:val="left"/>
      <w:pPr>
        <w:ind w:left="1713" w:hanging="360"/>
      </w:pPr>
      <w:rPr>
        <w:rFonts w:ascii="Trebuchet MS" w:hAnsi="Trebuchet M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5" w15:restartNumberingAfterBreak="0">
    <w:nsid w:val="250E54C1"/>
    <w:multiLevelType w:val="hybridMultilevel"/>
    <w:tmpl w:val="DA743918"/>
    <w:lvl w:ilvl="0" w:tplc="69704B90">
      <w:start w:val="1"/>
      <w:numFmt w:val="bullet"/>
      <w:pStyle w:val="Titre3"/>
      <w:lvlText w:val=""/>
      <w:lvlJc w:val="left"/>
      <w:pPr>
        <w:ind w:left="1712" w:hanging="360"/>
      </w:pPr>
      <w:rPr>
        <w:rFonts w:ascii="Symbol" w:hAnsi="Symbol" w:hint="default"/>
      </w:rPr>
    </w:lvl>
    <w:lvl w:ilvl="1" w:tplc="9BA6A31A">
      <w:numFmt w:val="bullet"/>
      <w:pStyle w:val="Normal3"/>
      <w:lvlText w:val="—"/>
      <w:lvlJc w:val="left"/>
      <w:pPr>
        <w:ind w:left="2432" w:hanging="360"/>
      </w:pPr>
      <w:rPr>
        <w:rFonts w:ascii="Trebuchet MS" w:eastAsiaTheme="minorEastAsia" w:hAnsi="Trebuchet MS" w:cstheme="minorBidi" w:hint="default"/>
      </w:rPr>
    </w:lvl>
    <w:lvl w:ilvl="2" w:tplc="040C0005" w:tentative="1">
      <w:start w:val="1"/>
      <w:numFmt w:val="bullet"/>
      <w:lvlText w:val=""/>
      <w:lvlJc w:val="left"/>
      <w:pPr>
        <w:ind w:left="3152" w:hanging="360"/>
      </w:pPr>
      <w:rPr>
        <w:rFonts w:ascii="Wingdings" w:hAnsi="Wingdings" w:hint="default"/>
      </w:rPr>
    </w:lvl>
    <w:lvl w:ilvl="3" w:tplc="040C0001" w:tentative="1">
      <w:start w:val="1"/>
      <w:numFmt w:val="bullet"/>
      <w:lvlText w:val=""/>
      <w:lvlJc w:val="left"/>
      <w:pPr>
        <w:ind w:left="3872" w:hanging="360"/>
      </w:pPr>
      <w:rPr>
        <w:rFonts w:ascii="Symbol" w:hAnsi="Symbol" w:hint="default"/>
      </w:rPr>
    </w:lvl>
    <w:lvl w:ilvl="4" w:tplc="040C0003" w:tentative="1">
      <w:start w:val="1"/>
      <w:numFmt w:val="bullet"/>
      <w:lvlText w:val="o"/>
      <w:lvlJc w:val="left"/>
      <w:pPr>
        <w:ind w:left="4592" w:hanging="360"/>
      </w:pPr>
      <w:rPr>
        <w:rFonts w:ascii="Courier New" w:hAnsi="Courier New" w:cs="Courier New" w:hint="default"/>
      </w:rPr>
    </w:lvl>
    <w:lvl w:ilvl="5" w:tplc="040C0005" w:tentative="1">
      <w:start w:val="1"/>
      <w:numFmt w:val="bullet"/>
      <w:lvlText w:val=""/>
      <w:lvlJc w:val="left"/>
      <w:pPr>
        <w:ind w:left="5312" w:hanging="360"/>
      </w:pPr>
      <w:rPr>
        <w:rFonts w:ascii="Wingdings" w:hAnsi="Wingdings" w:hint="default"/>
      </w:rPr>
    </w:lvl>
    <w:lvl w:ilvl="6" w:tplc="040C0001" w:tentative="1">
      <w:start w:val="1"/>
      <w:numFmt w:val="bullet"/>
      <w:lvlText w:val=""/>
      <w:lvlJc w:val="left"/>
      <w:pPr>
        <w:ind w:left="6032" w:hanging="360"/>
      </w:pPr>
      <w:rPr>
        <w:rFonts w:ascii="Symbol" w:hAnsi="Symbol" w:hint="default"/>
      </w:rPr>
    </w:lvl>
    <w:lvl w:ilvl="7" w:tplc="040C0003" w:tentative="1">
      <w:start w:val="1"/>
      <w:numFmt w:val="bullet"/>
      <w:lvlText w:val="o"/>
      <w:lvlJc w:val="left"/>
      <w:pPr>
        <w:ind w:left="6752" w:hanging="360"/>
      </w:pPr>
      <w:rPr>
        <w:rFonts w:ascii="Courier New" w:hAnsi="Courier New" w:cs="Courier New" w:hint="default"/>
      </w:rPr>
    </w:lvl>
    <w:lvl w:ilvl="8" w:tplc="040C0005" w:tentative="1">
      <w:start w:val="1"/>
      <w:numFmt w:val="bullet"/>
      <w:lvlText w:val=""/>
      <w:lvlJc w:val="left"/>
      <w:pPr>
        <w:ind w:left="7472" w:hanging="360"/>
      </w:pPr>
      <w:rPr>
        <w:rFonts w:ascii="Wingdings" w:hAnsi="Wingdings" w:hint="default"/>
      </w:rPr>
    </w:lvl>
  </w:abstractNum>
  <w:abstractNum w:abstractNumId="6" w15:restartNumberingAfterBreak="0">
    <w:nsid w:val="28B30BC7"/>
    <w:multiLevelType w:val="hybridMultilevel"/>
    <w:tmpl w:val="2B62CF62"/>
    <w:lvl w:ilvl="0" w:tplc="040C0001">
      <w:start w:val="1"/>
      <w:numFmt w:val="bullet"/>
      <w:lvlText w:val=""/>
      <w:lvlJc w:val="left"/>
      <w:pPr>
        <w:ind w:left="1712" w:hanging="360"/>
      </w:pPr>
      <w:rPr>
        <w:rFonts w:ascii="Symbol" w:hAnsi="Symbol" w:hint="default"/>
      </w:rPr>
    </w:lvl>
    <w:lvl w:ilvl="1" w:tplc="040C0003" w:tentative="1">
      <w:start w:val="1"/>
      <w:numFmt w:val="bullet"/>
      <w:lvlText w:val="o"/>
      <w:lvlJc w:val="left"/>
      <w:pPr>
        <w:ind w:left="2432" w:hanging="360"/>
      </w:pPr>
      <w:rPr>
        <w:rFonts w:ascii="Courier New" w:hAnsi="Courier New" w:cs="Courier New" w:hint="default"/>
      </w:rPr>
    </w:lvl>
    <w:lvl w:ilvl="2" w:tplc="040C0005" w:tentative="1">
      <w:start w:val="1"/>
      <w:numFmt w:val="bullet"/>
      <w:lvlText w:val=""/>
      <w:lvlJc w:val="left"/>
      <w:pPr>
        <w:ind w:left="3152" w:hanging="360"/>
      </w:pPr>
      <w:rPr>
        <w:rFonts w:ascii="Wingdings" w:hAnsi="Wingdings" w:hint="default"/>
      </w:rPr>
    </w:lvl>
    <w:lvl w:ilvl="3" w:tplc="040C0001" w:tentative="1">
      <w:start w:val="1"/>
      <w:numFmt w:val="bullet"/>
      <w:lvlText w:val=""/>
      <w:lvlJc w:val="left"/>
      <w:pPr>
        <w:ind w:left="3872" w:hanging="360"/>
      </w:pPr>
      <w:rPr>
        <w:rFonts w:ascii="Symbol" w:hAnsi="Symbol" w:hint="default"/>
      </w:rPr>
    </w:lvl>
    <w:lvl w:ilvl="4" w:tplc="040C0003" w:tentative="1">
      <w:start w:val="1"/>
      <w:numFmt w:val="bullet"/>
      <w:lvlText w:val="o"/>
      <w:lvlJc w:val="left"/>
      <w:pPr>
        <w:ind w:left="4592" w:hanging="360"/>
      </w:pPr>
      <w:rPr>
        <w:rFonts w:ascii="Courier New" w:hAnsi="Courier New" w:cs="Courier New" w:hint="default"/>
      </w:rPr>
    </w:lvl>
    <w:lvl w:ilvl="5" w:tplc="040C0005" w:tentative="1">
      <w:start w:val="1"/>
      <w:numFmt w:val="bullet"/>
      <w:lvlText w:val=""/>
      <w:lvlJc w:val="left"/>
      <w:pPr>
        <w:ind w:left="5312" w:hanging="360"/>
      </w:pPr>
      <w:rPr>
        <w:rFonts w:ascii="Wingdings" w:hAnsi="Wingdings" w:hint="default"/>
      </w:rPr>
    </w:lvl>
    <w:lvl w:ilvl="6" w:tplc="040C0001" w:tentative="1">
      <w:start w:val="1"/>
      <w:numFmt w:val="bullet"/>
      <w:lvlText w:val=""/>
      <w:lvlJc w:val="left"/>
      <w:pPr>
        <w:ind w:left="6032" w:hanging="360"/>
      </w:pPr>
      <w:rPr>
        <w:rFonts w:ascii="Symbol" w:hAnsi="Symbol" w:hint="default"/>
      </w:rPr>
    </w:lvl>
    <w:lvl w:ilvl="7" w:tplc="040C0003" w:tentative="1">
      <w:start w:val="1"/>
      <w:numFmt w:val="bullet"/>
      <w:lvlText w:val="o"/>
      <w:lvlJc w:val="left"/>
      <w:pPr>
        <w:ind w:left="6752" w:hanging="360"/>
      </w:pPr>
      <w:rPr>
        <w:rFonts w:ascii="Courier New" w:hAnsi="Courier New" w:cs="Courier New" w:hint="default"/>
      </w:rPr>
    </w:lvl>
    <w:lvl w:ilvl="8" w:tplc="040C0005" w:tentative="1">
      <w:start w:val="1"/>
      <w:numFmt w:val="bullet"/>
      <w:lvlText w:val=""/>
      <w:lvlJc w:val="left"/>
      <w:pPr>
        <w:ind w:left="7472" w:hanging="360"/>
      </w:pPr>
      <w:rPr>
        <w:rFonts w:ascii="Wingdings" w:hAnsi="Wingdings" w:hint="default"/>
      </w:rPr>
    </w:lvl>
  </w:abstractNum>
  <w:abstractNum w:abstractNumId="7" w15:restartNumberingAfterBreak="0">
    <w:nsid w:val="296F4611"/>
    <w:multiLevelType w:val="hybridMultilevel"/>
    <w:tmpl w:val="285A80D6"/>
    <w:lvl w:ilvl="0" w:tplc="B4606140">
      <w:start w:val="30"/>
      <w:numFmt w:val="bullet"/>
      <w:lvlText w:val=""/>
      <w:lvlJc w:val="left"/>
      <w:pPr>
        <w:ind w:left="720" w:hanging="360"/>
      </w:pPr>
      <w:rPr>
        <w:rFonts w:ascii="Symbol" w:eastAsia="Times"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803C8A"/>
    <w:multiLevelType w:val="hybridMultilevel"/>
    <w:tmpl w:val="B6520662"/>
    <w:lvl w:ilvl="0" w:tplc="1BCCAEB0">
      <w:start w:val="1"/>
      <w:numFmt w:val="bullet"/>
      <w:pStyle w:val="Normal2"/>
      <w:lvlText w:val=""/>
      <w:lvlJc w:val="left"/>
      <w:pPr>
        <w:ind w:left="1712" w:hanging="360"/>
      </w:pPr>
      <w:rPr>
        <w:rFonts w:ascii="Symbol" w:hAnsi="Symbol" w:hint="default"/>
      </w:rPr>
    </w:lvl>
    <w:lvl w:ilvl="1" w:tplc="040C0003" w:tentative="1">
      <w:start w:val="1"/>
      <w:numFmt w:val="bullet"/>
      <w:lvlText w:val="o"/>
      <w:lvlJc w:val="left"/>
      <w:pPr>
        <w:ind w:left="2432" w:hanging="360"/>
      </w:pPr>
      <w:rPr>
        <w:rFonts w:ascii="Courier New" w:hAnsi="Courier New" w:cs="Courier New" w:hint="default"/>
      </w:rPr>
    </w:lvl>
    <w:lvl w:ilvl="2" w:tplc="040C0005" w:tentative="1">
      <w:start w:val="1"/>
      <w:numFmt w:val="bullet"/>
      <w:lvlText w:val=""/>
      <w:lvlJc w:val="left"/>
      <w:pPr>
        <w:ind w:left="3152" w:hanging="360"/>
      </w:pPr>
      <w:rPr>
        <w:rFonts w:ascii="Wingdings" w:hAnsi="Wingdings" w:hint="default"/>
      </w:rPr>
    </w:lvl>
    <w:lvl w:ilvl="3" w:tplc="040C0001" w:tentative="1">
      <w:start w:val="1"/>
      <w:numFmt w:val="bullet"/>
      <w:lvlText w:val=""/>
      <w:lvlJc w:val="left"/>
      <w:pPr>
        <w:ind w:left="3872" w:hanging="360"/>
      </w:pPr>
      <w:rPr>
        <w:rFonts w:ascii="Symbol" w:hAnsi="Symbol" w:hint="default"/>
      </w:rPr>
    </w:lvl>
    <w:lvl w:ilvl="4" w:tplc="040C0003" w:tentative="1">
      <w:start w:val="1"/>
      <w:numFmt w:val="bullet"/>
      <w:lvlText w:val="o"/>
      <w:lvlJc w:val="left"/>
      <w:pPr>
        <w:ind w:left="4592" w:hanging="360"/>
      </w:pPr>
      <w:rPr>
        <w:rFonts w:ascii="Courier New" w:hAnsi="Courier New" w:cs="Courier New" w:hint="default"/>
      </w:rPr>
    </w:lvl>
    <w:lvl w:ilvl="5" w:tplc="040C0005" w:tentative="1">
      <w:start w:val="1"/>
      <w:numFmt w:val="bullet"/>
      <w:lvlText w:val=""/>
      <w:lvlJc w:val="left"/>
      <w:pPr>
        <w:ind w:left="5312" w:hanging="360"/>
      </w:pPr>
      <w:rPr>
        <w:rFonts w:ascii="Wingdings" w:hAnsi="Wingdings" w:hint="default"/>
      </w:rPr>
    </w:lvl>
    <w:lvl w:ilvl="6" w:tplc="040C0001" w:tentative="1">
      <w:start w:val="1"/>
      <w:numFmt w:val="bullet"/>
      <w:lvlText w:val=""/>
      <w:lvlJc w:val="left"/>
      <w:pPr>
        <w:ind w:left="6032" w:hanging="360"/>
      </w:pPr>
      <w:rPr>
        <w:rFonts w:ascii="Symbol" w:hAnsi="Symbol" w:hint="default"/>
      </w:rPr>
    </w:lvl>
    <w:lvl w:ilvl="7" w:tplc="040C0003" w:tentative="1">
      <w:start w:val="1"/>
      <w:numFmt w:val="bullet"/>
      <w:lvlText w:val="o"/>
      <w:lvlJc w:val="left"/>
      <w:pPr>
        <w:ind w:left="6752" w:hanging="360"/>
      </w:pPr>
      <w:rPr>
        <w:rFonts w:ascii="Courier New" w:hAnsi="Courier New" w:cs="Courier New" w:hint="default"/>
      </w:rPr>
    </w:lvl>
    <w:lvl w:ilvl="8" w:tplc="040C0005" w:tentative="1">
      <w:start w:val="1"/>
      <w:numFmt w:val="bullet"/>
      <w:lvlText w:val=""/>
      <w:lvlJc w:val="left"/>
      <w:pPr>
        <w:ind w:left="7472" w:hanging="360"/>
      </w:pPr>
      <w:rPr>
        <w:rFonts w:ascii="Wingdings" w:hAnsi="Wingdings" w:hint="default"/>
      </w:rPr>
    </w:lvl>
  </w:abstractNum>
  <w:abstractNum w:abstractNumId="9" w15:restartNumberingAfterBreak="0">
    <w:nsid w:val="2EC0273C"/>
    <w:multiLevelType w:val="hybridMultilevel"/>
    <w:tmpl w:val="B7A4A290"/>
    <w:lvl w:ilvl="0" w:tplc="7A78B33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2F691239"/>
    <w:multiLevelType w:val="hybridMultilevel"/>
    <w:tmpl w:val="389E8BE8"/>
    <w:lvl w:ilvl="0" w:tplc="9F0AD9F6">
      <w:start w:val="30"/>
      <w:numFmt w:val="bullet"/>
      <w:lvlText w:val=""/>
      <w:lvlJc w:val="left"/>
      <w:pPr>
        <w:ind w:left="720" w:hanging="360"/>
      </w:pPr>
      <w:rPr>
        <w:rFonts w:ascii="Symbol" w:eastAsia="Times"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FC32DA"/>
    <w:multiLevelType w:val="hybridMultilevel"/>
    <w:tmpl w:val="23968BC6"/>
    <w:lvl w:ilvl="0" w:tplc="785E332A">
      <w:start w:val="30"/>
      <w:numFmt w:val="bullet"/>
      <w:lvlText w:val=""/>
      <w:lvlJc w:val="left"/>
      <w:pPr>
        <w:ind w:left="720" w:hanging="360"/>
      </w:pPr>
      <w:rPr>
        <w:rFonts w:ascii="Symbol" w:eastAsia="Times"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857A66"/>
    <w:multiLevelType w:val="hybridMultilevel"/>
    <w:tmpl w:val="B6D81034"/>
    <w:lvl w:ilvl="0" w:tplc="39C0C2A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15:restartNumberingAfterBreak="0">
    <w:nsid w:val="3C2506DA"/>
    <w:multiLevelType w:val="hybridMultilevel"/>
    <w:tmpl w:val="3F1A59CA"/>
    <w:lvl w:ilvl="0" w:tplc="A5E831A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4" w15:restartNumberingAfterBreak="0">
    <w:nsid w:val="436069F1"/>
    <w:multiLevelType w:val="hybridMultilevel"/>
    <w:tmpl w:val="4F0014D2"/>
    <w:lvl w:ilvl="0" w:tplc="403A7D88">
      <w:start w:val="1"/>
      <w:numFmt w:val="decimal"/>
      <w:lvlText w:val="(%1)"/>
      <w:lvlJc w:val="left"/>
      <w:pPr>
        <w:ind w:left="1352" w:hanging="360"/>
      </w:pPr>
      <w:rPr>
        <w:rFonts w:hint="default"/>
      </w:rPr>
    </w:lvl>
    <w:lvl w:ilvl="1" w:tplc="040C0019" w:tentative="1">
      <w:start w:val="1"/>
      <w:numFmt w:val="lowerLetter"/>
      <w:lvlText w:val="%2."/>
      <w:lvlJc w:val="left"/>
      <w:pPr>
        <w:ind w:left="2072" w:hanging="360"/>
      </w:pPr>
    </w:lvl>
    <w:lvl w:ilvl="2" w:tplc="040C001B" w:tentative="1">
      <w:start w:val="1"/>
      <w:numFmt w:val="lowerRoman"/>
      <w:lvlText w:val="%3."/>
      <w:lvlJc w:val="right"/>
      <w:pPr>
        <w:ind w:left="2792" w:hanging="180"/>
      </w:pPr>
    </w:lvl>
    <w:lvl w:ilvl="3" w:tplc="040C000F" w:tentative="1">
      <w:start w:val="1"/>
      <w:numFmt w:val="decimal"/>
      <w:lvlText w:val="%4."/>
      <w:lvlJc w:val="left"/>
      <w:pPr>
        <w:ind w:left="3512" w:hanging="360"/>
      </w:pPr>
    </w:lvl>
    <w:lvl w:ilvl="4" w:tplc="040C0019" w:tentative="1">
      <w:start w:val="1"/>
      <w:numFmt w:val="lowerLetter"/>
      <w:lvlText w:val="%5."/>
      <w:lvlJc w:val="left"/>
      <w:pPr>
        <w:ind w:left="4232" w:hanging="360"/>
      </w:pPr>
    </w:lvl>
    <w:lvl w:ilvl="5" w:tplc="040C001B" w:tentative="1">
      <w:start w:val="1"/>
      <w:numFmt w:val="lowerRoman"/>
      <w:lvlText w:val="%6."/>
      <w:lvlJc w:val="right"/>
      <w:pPr>
        <w:ind w:left="4952" w:hanging="180"/>
      </w:pPr>
    </w:lvl>
    <w:lvl w:ilvl="6" w:tplc="040C000F" w:tentative="1">
      <w:start w:val="1"/>
      <w:numFmt w:val="decimal"/>
      <w:lvlText w:val="%7."/>
      <w:lvlJc w:val="left"/>
      <w:pPr>
        <w:ind w:left="5672" w:hanging="360"/>
      </w:pPr>
    </w:lvl>
    <w:lvl w:ilvl="7" w:tplc="040C0019" w:tentative="1">
      <w:start w:val="1"/>
      <w:numFmt w:val="lowerLetter"/>
      <w:lvlText w:val="%8."/>
      <w:lvlJc w:val="left"/>
      <w:pPr>
        <w:ind w:left="6392" w:hanging="360"/>
      </w:pPr>
    </w:lvl>
    <w:lvl w:ilvl="8" w:tplc="040C001B" w:tentative="1">
      <w:start w:val="1"/>
      <w:numFmt w:val="lowerRoman"/>
      <w:lvlText w:val="%9."/>
      <w:lvlJc w:val="right"/>
      <w:pPr>
        <w:ind w:left="7112" w:hanging="180"/>
      </w:pPr>
    </w:lvl>
  </w:abstractNum>
  <w:abstractNum w:abstractNumId="15" w15:restartNumberingAfterBreak="0">
    <w:nsid w:val="49230C19"/>
    <w:multiLevelType w:val="hybridMultilevel"/>
    <w:tmpl w:val="9954C448"/>
    <w:lvl w:ilvl="0" w:tplc="3F061390">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6" w15:restartNumberingAfterBreak="0">
    <w:nsid w:val="4A8045F3"/>
    <w:multiLevelType w:val="hybridMultilevel"/>
    <w:tmpl w:val="C7BC27FA"/>
    <w:lvl w:ilvl="0" w:tplc="957E7388">
      <w:start w:val="1"/>
      <w:numFmt w:val="decimal"/>
      <w:lvlText w:val="(%1)"/>
      <w:lvlJc w:val="left"/>
      <w:pPr>
        <w:ind w:left="1352" w:hanging="360"/>
      </w:pPr>
      <w:rPr>
        <w:rFonts w:hint="default"/>
      </w:rPr>
    </w:lvl>
    <w:lvl w:ilvl="1" w:tplc="040C0019" w:tentative="1">
      <w:start w:val="1"/>
      <w:numFmt w:val="lowerLetter"/>
      <w:lvlText w:val="%2."/>
      <w:lvlJc w:val="left"/>
      <w:pPr>
        <w:ind w:left="2072" w:hanging="360"/>
      </w:pPr>
    </w:lvl>
    <w:lvl w:ilvl="2" w:tplc="040C001B" w:tentative="1">
      <w:start w:val="1"/>
      <w:numFmt w:val="lowerRoman"/>
      <w:lvlText w:val="%3."/>
      <w:lvlJc w:val="right"/>
      <w:pPr>
        <w:ind w:left="2792" w:hanging="180"/>
      </w:pPr>
    </w:lvl>
    <w:lvl w:ilvl="3" w:tplc="040C000F" w:tentative="1">
      <w:start w:val="1"/>
      <w:numFmt w:val="decimal"/>
      <w:lvlText w:val="%4."/>
      <w:lvlJc w:val="left"/>
      <w:pPr>
        <w:ind w:left="3512" w:hanging="360"/>
      </w:pPr>
    </w:lvl>
    <w:lvl w:ilvl="4" w:tplc="040C0019" w:tentative="1">
      <w:start w:val="1"/>
      <w:numFmt w:val="lowerLetter"/>
      <w:lvlText w:val="%5."/>
      <w:lvlJc w:val="left"/>
      <w:pPr>
        <w:ind w:left="4232" w:hanging="360"/>
      </w:pPr>
    </w:lvl>
    <w:lvl w:ilvl="5" w:tplc="040C001B" w:tentative="1">
      <w:start w:val="1"/>
      <w:numFmt w:val="lowerRoman"/>
      <w:lvlText w:val="%6."/>
      <w:lvlJc w:val="right"/>
      <w:pPr>
        <w:ind w:left="4952" w:hanging="180"/>
      </w:pPr>
    </w:lvl>
    <w:lvl w:ilvl="6" w:tplc="040C000F" w:tentative="1">
      <w:start w:val="1"/>
      <w:numFmt w:val="decimal"/>
      <w:lvlText w:val="%7."/>
      <w:lvlJc w:val="left"/>
      <w:pPr>
        <w:ind w:left="5672" w:hanging="360"/>
      </w:pPr>
    </w:lvl>
    <w:lvl w:ilvl="7" w:tplc="040C0019" w:tentative="1">
      <w:start w:val="1"/>
      <w:numFmt w:val="lowerLetter"/>
      <w:lvlText w:val="%8."/>
      <w:lvlJc w:val="left"/>
      <w:pPr>
        <w:ind w:left="6392" w:hanging="360"/>
      </w:pPr>
    </w:lvl>
    <w:lvl w:ilvl="8" w:tplc="040C001B" w:tentative="1">
      <w:start w:val="1"/>
      <w:numFmt w:val="lowerRoman"/>
      <w:lvlText w:val="%9."/>
      <w:lvlJc w:val="right"/>
      <w:pPr>
        <w:ind w:left="7112" w:hanging="180"/>
      </w:pPr>
    </w:lvl>
  </w:abstractNum>
  <w:abstractNum w:abstractNumId="17" w15:restartNumberingAfterBreak="0">
    <w:nsid w:val="51002411"/>
    <w:multiLevelType w:val="hybridMultilevel"/>
    <w:tmpl w:val="EF4CBFAC"/>
    <w:lvl w:ilvl="0" w:tplc="674422F6">
      <w:start w:val="1"/>
      <w:numFmt w:val="bullet"/>
      <w:lvlText w:val="-"/>
      <w:lvlJc w:val="left"/>
      <w:pPr>
        <w:ind w:left="1713" w:hanging="360"/>
      </w:pPr>
      <w:rPr>
        <w:rFonts w:ascii="Trebuchet MS" w:hAnsi="Trebuchet M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8" w15:restartNumberingAfterBreak="0">
    <w:nsid w:val="56A83720"/>
    <w:multiLevelType w:val="hybridMultilevel"/>
    <w:tmpl w:val="2938AB8E"/>
    <w:lvl w:ilvl="0" w:tplc="040C0005">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B9403E9"/>
    <w:multiLevelType w:val="hybridMultilevel"/>
    <w:tmpl w:val="6436EA8A"/>
    <w:lvl w:ilvl="0" w:tplc="0882B028">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B97D19"/>
    <w:multiLevelType w:val="hybridMultilevel"/>
    <w:tmpl w:val="74CE6020"/>
    <w:lvl w:ilvl="0" w:tplc="7FA668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CCA75F5"/>
    <w:multiLevelType w:val="hybridMultilevel"/>
    <w:tmpl w:val="5D32DBB4"/>
    <w:lvl w:ilvl="0" w:tplc="2D42B93E">
      <w:start w:val="1"/>
      <w:numFmt w:val="bullet"/>
      <w:lvlText w:val=""/>
      <w:lvlJc w:val="left"/>
      <w:pPr>
        <w:tabs>
          <w:tab w:val="num" w:pos="1068"/>
        </w:tabs>
        <w:ind w:left="1068" w:hanging="360"/>
      </w:pPr>
      <w:rPr>
        <w:rFonts w:ascii="Symbol" w:hAnsi="Symbol" w:cs="Symbol" w:hint="default"/>
        <w:sz w:val="20"/>
        <w:szCs w:val="20"/>
      </w:rPr>
    </w:lvl>
    <w:lvl w:ilvl="1" w:tplc="040C0003">
      <w:start w:val="1"/>
      <w:numFmt w:val="bullet"/>
      <w:lvlText w:val="o"/>
      <w:lvlJc w:val="left"/>
      <w:pPr>
        <w:tabs>
          <w:tab w:val="num" w:pos="730"/>
        </w:tabs>
        <w:ind w:left="730" w:hanging="360"/>
      </w:pPr>
      <w:rPr>
        <w:rFonts w:ascii="Courier New" w:hAnsi="Courier New" w:cs="Courier New" w:hint="default"/>
      </w:rPr>
    </w:lvl>
    <w:lvl w:ilvl="2" w:tplc="040C0005">
      <w:start w:val="1"/>
      <w:numFmt w:val="bullet"/>
      <w:lvlText w:val=""/>
      <w:lvlJc w:val="left"/>
      <w:pPr>
        <w:tabs>
          <w:tab w:val="num" w:pos="1450"/>
        </w:tabs>
        <w:ind w:left="1450" w:hanging="360"/>
      </w:pPr>
      <w:rPr>
        <w:rFonts w:ascii="Wingdings" w:hAnsi="Wingdings" w:cs="Wingdings" w:hint="default"/>
      </w:rPr>
    </w:lvl>
    <w:lvl w:ilvl="3" w:tplc="040C0001">
      <w:start w:val="1"/>
      <w:numFmt w:val="bullet"/>
      <w:lvlText w:val=""/>
      <w:lvlJc w:val="left"/>
      <w:pPr>
        <w:tabs>
          <w:tab w:val="num" w:pos="2170"/>
        </w:tabs>
        <w:ind w:left="2170" w:hanging="360"/>
      </w:pPr>
      <w:rPr>
        <w:rFonts w:ascii="Symbol" w:hAnsi="Symbol" w:cs="Symbol" w:hint="default"/>
      </w:rPr>
    </w:lvl>
    <w:lvl w:ilvl="4" w:tplc="040C0003">
      <w:start w:val="1"/>
      <w:numFmt w:val="bullet"/>
      <w:lvlText w:val="o"/>
      <w:lvlJc w:val="left"/>
      <w:pPr>
        <w:tabs>
          <w:tab w:val="num" w:pos="2890"/>
        </w:tabs>
        <w:ind w:left="2890" w:hanging="360"/>
      </w:pPr>
      <w:rPr>
        <w:rFonts w:ascii="Courier New" w:hAnsi="Courier New" w:cs="Courier New" w:hint="default"/>
      </w:rPr>
    </w:lvl>
    <w:lvl w:ilvl="5" w:tplc="040C0005">
      <w:start w:val="1"/>
      <w:numFmt w:val="bullet"/>
      <w:lvlText w:val=""/>
      <w:lvlJc w:val="left"/>
      <w:pPr>
        <w:tabs>
          <w:tab w:val="num" w:pos="3610"/>
        </w:tabs>
        <w:ind w:left="3610" w:hanging="360"/>
      </w:pPr>
      <w:rPr>
        <w:rFonts w:ascii="Wingdings" w:hAnsi="Wingdings" w:cs="Wingdings" w:hint="default"/>
      </w:rPr>
    </w:lvl>
    <w:lvl w:ilvl="6" w:tplc="040C0001">
      <w:start w:val="1"/>
      <w:numFmt w:val="bullet"/>
      <w:lvlText w:val=""/>
      <w:lvlJc w:val="left"/>
      <w:pPr>
        <w:tabs>
          <w:tab w:val="num" w:pos="4330"/>
        </w:tabs>
        <w:ind w:left="4330" w:hanging="360"/>
      </w:pPr>
      <w:rPr>
        <w:rFonts w:ascii="Symbol" w:hAnsi="Symbol" w:cs="Symbol" w:hint="default"/>
      </w:rPr>
    </w:lvl>
    <w:lvl w:ilvl="7" w:tplc="040C0003">
      <w:start w:val="1"/>
      <w:numFmt w:val="bullet"/>
      <w:lvlText w:val="o"/>
      <w:lvlJc w:val="left"/>
      <w:pPr>
        <w:tabs>
          <w:tab w:val="num" w:pos="5050"/>
        </w:tabs>
        <w:ind w:left="5050" w:hanging="360"/>
      </w:pPr>
      <w:rPr>
        <w:rFonts w:ascii="Courier New" w:hAnsi="Courier New" w:cs="Courier New" w:hint="default"/>
      </w:rPr>
    </w:lvl>
    <w:lvl w:ilvl="8" w:tplc="040C0005">
      <w:start w:val="1"/>
      <w:numFmt w:val="bullet"/>
      <w:lvlText w:val=""/>
      <w:lvlJc w:val="left"/>
      <w:pPr>
        <w:tabs>
          <w:tab w:val="num" w:pos="5770"/>
        </w:tabs>
        <w:ind w:left="5770" w:hanging="360"/>
      </w:pPr>
      <w:rPr>
        <w:rFonts w:ascii="Wingdings" w:hAnsi="Wingdings" w:cs="Wingdings" w:hint="default"/>
      </w:rPr>
    </w:lvl>
  </w:abstractNum>
  <w:abstractNum w:abstractNumId="22" w15:restartNumberingAfterBreak="0">
    <w:nsid w:val="5D4D188A"/>
    <w:multiLevelType w:val="hybridMultilevel"/>
    <w:tmpl w:val="B7A4A290"/>
    <w:lvl w:ilvl="0" w:tplc="7A78B33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3" w15:restartNumberingAfterBreak="0">
    <w:nsid w:val="5FD417CB"/>
    <w:multiLevelType w:val="hybridMultilevel"/>
    <w:tmpl w:val="112E71E6"/>
    <w:lvl w:ilvl="0" w:tplc="436C1574">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4" w15:restartNumberingAfterBreak="0">
    <w:nsid w:val="64613471"/>
    <w:multiLevelType w:val="hybridMultilevel"/>
    <w:tmpl w:val="41023C14"/>
    <w:lvl w:ilvl="0" w:tplc="5E2C29DE">
      <w:start w:val="1"/>
      <w:numFmt w:val="bullet"/>
      <w:lvlText w:val="•"/>
      <w:lvlJc w:val="left"/>
      <w:pPr>
        <w:tabs>
          <w:tab w:val="num" w:pos="720"/>
        </w:tabs>
        <w:ind w:left="720" w:hanging="360"/>
      </w:pPr>
      <w:rPr>
        <w:rFonts w:ascii="Arial" w:hAnsi="Arial" w:hint="default"/>
      </w:rPr>
    </w:lvl>
    <w:lvl w:ilvl="1" w:tplc="9D78B542">
      <w:start w:val="1637"/>
      <w:numFmt w:val="bullet"/>
      <w:lvlText w:val="•"/>
      <w:lvlJc w:val="left"/>
      <w:pPr>
        <w:tabs>
          <w:tab w:val="num" w:pos="1440"/>
        </w:tabs>
        <w:ind w:left="1440" w:hanging="360"/>
      </w:pPr>
      <w:rPr>
        <w:rFonts w:ascii="Arial" w:hAnsi="Arial" w:hint="default"/>
      </w:rPr>
    </w:lvl>
    <w:lvl w:ilvl="2" w:tplc="140ECFE8">
      <w:start w:val="1637"/>
      <w:numFmt w:val="bullet"/>
      <w:lvlText w:val="•"/>
      <w:lvlJc w:val="left"/>
      <w:pPr>
        <w:tabs>
          <w:tab w:val="num" w:pos="2160"/>
        </w:tabs>
        <w:ind w:left="2160" w:hanging="360"/>
      </w:pPr>
      <w:rPr>
        <w:rFonts w:ascii="Arial" w:hAnsi="Arial" w:hint="default"/>
      </w:rPr>
    </w:lvl>
    <w:lvl w:ilvl="3" w:tplc="A54A92BE" w:tentative="1">
      <w:start w:val="1"/>
      <w:numFmt w:val="bullet"/>
      <w:lvlText w:val="•"/>
      <w:lvlJc w:val="left"/>
      <w:pPr>
        <w:tabs>
          <w:tab w:val="num" w:pos="2880"/>
        </w:tabs>
        <w:ind w:left="2880" w:hanging="360"/>
      </w:pPr>
      <w:rPr>
        <w:rFonts w:ascii="Arial" w:hAnsi="Arial" w:hint="default"/>
      </w:rPr>
    </w:lvl>
    <w:lvl w:ilvl="4" w:tplc="FCA260DE" w:tentative="1">
      <w:start w:val="1"/>
      <w:numFmt w:val="bullet"/>
      <w:lvlText w:val="•"/>
      <w:lvlJc w:val="left"/>
      <w:pPr>
        <w:tabs>
          <w:tab w:val="num" w:pos="3600"/>
        </w:tabs>
        <w:ind w:left="3600" w:hanging="360"/>
      </w:pPr>
      <w:rPr>
        <w:rFonts w:ascii="Arial" w:hAnsi="Arial" w:hint="default"/>
      </w:rPr>
    </w:lvl>
    <w:lvl w:ilvl="5" w:tplc="98DC9CE6" w:tentative="1">
      <w:start w:val="1"/>
      <w:numFmt w:val="bullet"/>
      <w:lvlText w:val="•"/>
      <w:lvlJc w:val="left"/>
      <w:pPr>
        <w:tabs>
          <w:tab w:val="num" w:pos="4320"/>
        </w:tabs>
        <w:ind w:left="4320" w:hanging="360"/>
      </w:pPr>
      <w:rPr>
        <w:rFonts w:ascii="Arial" w:hAnsi="Arial" w:hint="default"/>
      </w:rPr>
    </w:lvl>
    <w:lvl w:ilvl="6" w:tplc="A3BABA68" w:tentative="1">
      <w:start w:val="1"/>
      <w:numFmt w:val="bullet"/>
      <w:lvlText w:val="•"/>
      <w:lvlJc w:val="left"/>
      <w:pPr>
        <w:tabs>
          <w:tab w:val="num" w:pos="5040"/>
        </w:tabs>
        <w:ind w:left="5040" w:hanging="360"/>
      </w:pPr>
      <w:rPr>
        <w:rFonts w:ascii="Arial" w:hAnsi="Arial" w:hint="default"/>
      </w:rPr>
    </w:lvl>
    <w:lvl w:ilvl="7" w:tplc="A94428C4" w:tentative="1">
      <w:start w:val="1"/>
      <w:numFmt w:val="bullet"/>
      <w:lvlText w:val="•"/>
      <w:lvlJc w:val="left"/>
      <w:pPr>
        <w:tabs>
          <w:tab w:val="num" w:pos="5760"/>
        </w:tabs>
        <w:ind w:left="5760" w:hanging="360"/>
      </w:pPr>
      <w:rPr>
        <w:rFonts w:ascii="Arial" w:hAnsi="Arial" w:hint="default"/>
      </w:rPr>
    </w:lvl>
    <w:lvl w:ilvl="8" w:tplc="74F8EF6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764CFE"/>
    <w:multiLevelType w:val="hybridMultilevel"/>
    <w:tmpl w:val="190EB110"/>
    <w:lvl w:ilvl="0" w:tplc="515CB8CC">
      <w:numFmt w:val="bullet"/>
      <w:lvlText w:val="-"/>
      <w:lvlJc w:val="left"/>
      <w:pPr>
        <w:ind w:left="720" w:hanging="360"/>
      </w:pPr>
      <w:rPr>
        <w:rFonts w:ascii="Arial" w:eastAsia="Calibri"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CB63FE0"/>
    <w:multiLevelType w:val="hybridMultilevel"/>
    <w:tmpl w:val="7C02DF4E"/>
    <w:lvl w:ilvl="0" w:tplc="040C0001">
      <w:start w:val="1"/>
      <w:numFmt w:val="bullet"/>
      <w:lvlText w:val=""/>
      <w:lvlJc w:val="left"/>
      <w:pPr>
        <w:ind w:left="790" w:hanging="360"/>
      </w:pPr>
      <w:rPr>
        <w:rFonts w:ascii="Symbol" w:hAnsi="Symbol" w:hint="default"/>
      </w:rPr>
    </w:lvl>
    <w:lvl w:ilvl="1" w:tplc="040C0003">
      <w:start w:val="1"/>
      <w:numFmt w:val="bullet"/>
      <w:lvlText w:val="o"/>
      <w:lvlJc w:val="left"/>
      <w:pPr>
        <w:ind w:left="1510" w:hanging="360"/>
      </w:pPr>
      <w:rPr>
        <w:rFonts w:ascii="Courier New" w:hAnsi="Courier New" w:cs="Courier New" w:hint="default"/>
      </w:rPr>
    </w:lvl>
    <w:lvl w:ilvl="2" w:tplc="8C5068EC">
      <w:numFmt w:val="bullet"/>
      <w:lvlText w:val="-"/>
      <w:lvlJc w:val="left"/>
      <w:pPr>
        <w:ind w:left="2230" w:hanging="360"/>
      </w:pPr>
      <w:rPr>
        <w:rFonts w:ascii="Arial" w:eastAsia="Times" w:hAnsi="Arial" w:cs="Arial"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27" w15:restartNumberingAfterBreak="0">
    <w:nsid w:val="6DFB0F04"/>
    <w:multiLevelType w:val="hybridMultilevel"/>
    <w:tmpl w:val="D4B6E332"/>
    <w:lvl w:ilvl="0" w:tplc="040C0001">
      <w:start w:val="1"/>
      <w:numFmt w:val="bullet"/>
      <w:lvlText w:val=""/>
      <w:lvlJc w:val="left"/>
      <w:pPr>
        <w:ind w:left="790" w:hanging="360"/>
      </w:pPr>
      <w:rPr>
        <w:rFonts w:ascii="Symbol" w:hAnsi="Symbol" w:hint="default"/>
      </w:rPr>
    </w:lvl>
    <w:lvl w:ilvl="1" w:tplc="040C0003">
      <w:start w:val="1"/>
      <w:numFmt w:val="bullet"/>
      <w:lvlText w:val="o"/>
      <w:lvlJc w:val="left"/>
      <w:pPr>
        <w:ind w:left="1510" w:hanging="360"/>
      </w:pPr>
      <w:rPr>
        <w:rFonts w:ascii="Courier New" w:hAnsi="Courier New" w:cs="Courier New" w:hint="default"/>
      </w:rPr>
    </w:lvl>
    <w:lvl w:ilvl="2" w:tplc="8C5068EC">
      <w:numFmt w:val="bullet"/>
      <w:lvlText w:val="-"/>
      <w:lvlJc w:val="left"/>
      <w:pPr>
        <w:ind w:left="2230" w:hanging="360"/>
      </w:pPr>
      <w:rPr>
        <w:rFonts w:ascii="Arial" w:eastAsia="Times" w:hAnsi="Arial" w:cs="Arial"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28" w15:restartNumberingAfterBreak="0">
    <w:nsid w:val="6F974DF1"/>
    <w:multiLevelType w:val="hybridMultilevel"/>
    <w:tmpl w:val="4814BC98"/>
    <w:lvl w:ilvl="0" w:tplc="1776654A">
      <w:start w:val="50"/>
      <w:numFmt w:val="bullet"/>
      <w:lvlText w:val="-"/>
      <w:lvlJc w:val="left"/>
      <w:pPr>
        <w:ind w:left="1352" w:hanging="360"/>
      </w:pPr>
      <w:rPr>
        <w:rFonts w:ascii="Trebuchet MS" w:eastAsiaTheme="minorEastAsia" w:hAnsi="Trebuchet MS" w:cstheme="minorBidi" w:hint="default"/>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29" w15:restartNumberingAfterBreak="0">
    <w:nsid w:val="7BAD5D66"/>
    <w:multiLevelType w:val="hybridMultilevel"/>
    <w:tmpl w:val="AF143ED2"/>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0" w15:restartNumberingAfterBreak="0">
    <w:nsid w:val="7E1F4B0A"/>
    <w:multiLevelType w:val="hybridMultilevel"/>
    <w:tmpl w:val="2A2C3976"/>
    <w:lvl w:ilvl="0" w:tplc="59801884">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num w:numId="1">
    <w:abstractNumId w:val="5"/>
  </w:num>
  <w:num w:numId="2">
    <w:abstractNumId w:val="30"/>
  </w:num>
  <w:num w:numId="3">
    <w:abstractNumId w:val="2"/>
  </w:num>
  <w:num w:numId="4">
    <w:abstractNumId w:val="15"/>
  </w:num>
  <w:num w:numId="5">
    <w:abstractNumId w:val="17"/>
  </w:num>
  <w:num w:numId="6">
    <w:abstractNumId w:val="23"/>
  </w:num>
  <w:num w:numId="7">
    <w:abstractNumId w:val="4"/>
  </w:num>
  <w:num w:numId="8">
    <w:abstractNumId w:val="8"/>
  </w:num>
  <w:num w:numId="9">
    <w:abstractNumId w:val="28"/>
  </w:num>
  <w:num w:numId="10">
    <w:abstractNumId w:val="1"/>
  </w:num>
  <w:num w:numId="11">
    <w:abstractNumId w:val="1"/>
  </w:num>
  <w:num w:numId="12">
    <w:abstractNumId w:val="1"/>
  </w:num>
  <w:num w:numId="13">
    <w:abstractNumId w:val="13"/>
  </w:num>
  <w:num w:numId="14">
    <w:abstractNumId w:val="26"/>
  </w:num>
  <w:num w:numId="15">
    <w:abstractNumId w:val="0"/>
  </w:num>
  <w:num w:numId="16">
    <w:abstractNumId w:val="19"/>
  </w:num>
  <w:num w:numId="17">
    <w:abstractNumId w:val="25"/>
  </w:num>
  <w:num w:numId="18">
    <w:abstractNumId w:val="20"/>
  </w:num>
  <w:num w:numId="19">
    <w:abstractNumId w:val="22"/>
  </w:num>
  <w:num w:numId="20">
    <w:abstractNumId w:val="9"/>
  </w:num>
  <w:num w:numId="21">
    <w:abstractNumId w:val="3"/>
  </w:num>
  <w:num w:numId="22">
    <w:abstractNumId w:val="21"/>
  </w:num>
  <w:num w:numId="23">
    <w:abstractNumId w:val="11"/>
  </w:num>
  <w:num w:numId="24">
    <w:abstractNumId w:val="10"/>
  </w:num>
  <w:num w:numId="25">
    <w:abstractNumId w:val="7"/>
  </w:num>
  <w:num w:numId="26">
    <w:abstractNumId w:val="29"/>
  </w:num>
  <w:num w:numId="27">
    <w:abstractNumId w:val="1"/>
  </w:num>
  <w:num w:numId="28">
    <w:abstractNumId w:val="6"/>
  </w:num>
  <w:num w:numId="29">
    <w:abstractNumId w:val="12"/>
  </w:num>
  <w:num w:numId="30">
    <w:abstractNumId w:val="14"/>
  </w:num>
  <w:num w:numId="31">
    <w:abstractNumId w:val="16"/>
  </w:num>
  <w:num w:numId="32">
    <w:abstractNumId w:val="1"/>
  </w:num>
  <w:num w:numId="33">
    <w:abstractNumId w:val="1"/>
  </w:num>
  <w:num w:numId="34">
    <w:abstractNumId w:val="1"/>
  </w:num>
  <w:num w:numId="35">
    <w:abstractNumId w:val="1"/>
  </w:num>
  <w:num w:numId="36">
    <w:abstractNumId w:val="1"/>
  </w:num>
  <w:num w:numId="37">
    <w:abstractNumId w:val="24"/>
  </w:num>
  <w:num w:numId="38">
    <w:abstractNumId w:val="1"/>
  </w:num>
  <w:num w:numId="39">
    <w:abstractNumId w:val="27"/>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4932"/>
    <o:shapelayout v:ext="edit">
      <o:idmap v:ext="edit" data="12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EE"/>
    <w:rsid w:val="00001C8E"/>
    <w:rsid w:val="000022DD"/>
    <w:rsid w:val="0000447F"/>
    <w:rsid w:val="00007A5A"/>
    <w:rsid w:val="00022E5A"/>
    <w:rsid w:val="00024F42"/>
    <w:rsid w:val="00026152"/>
    <w:rsid w:val="00030B5B"/>
    <w:rsid w:val="00036FFA"/>
    <w:rsid w:val="00042D7A"/>
    <w:rsid w:val="00043462"/>
    <w:rsid w:val="000513DE"/>
    <w:rsid w:val="000514B5"/>
    <w:rsid w:val="00052BCF"/>
    <w:rsid w:val="0005334F"/>
    <w:rsid w:val="00060904"/>
    <w:rsid w:val="0006262D"/>
    <w:rsid w:val="00077EC1"/>
    <w:rsid w:val="000811CF"/>
    <w:rsid w:val="00086C73"/>
    <w:rsid w:val="00087AE1"/>
    <w:rsid w:val="000961DD"/>
    <w:rsid w:val="000A5CFB"/>
    <w:rsid w:val="000B151E"/>
    <w:rsid w:val="000B60BF"/>
    <w:rsid w:val="000C142A"/>
    <w:rsid w:val="000C21F1"/>
    <w:rsid w:val="000D31F7"/>
    <w:rsid w:val="000F4889"/>
    <w:rsid w:val="000F58AF"/>
    <w:rsid w:val="00102113"/>
    <w:rsid w:val="001167D5"/>
    <w:rsid w:val="00117CA5"/>
    <w:rsid w:val="001246E6"/>
    <w:rsid w:val="00126B14"/>
    <w:rsid w:val="001273A9"/>
    <w:rsid w:val="001470A4"/>
    <w:rsid w:val="00150DC1"/>
    <w:rsid w:val="0015643E"/>
    <w:rsid w:val="00160DAA"/>
    <w:rsid w:val="00163414"/>
    <w:rsid w:val="001636E6"/>
    <w:rsid w:val="00164AE1"/>
    <w:rsid w:val="001651DC"/>
    <w:rsid w:val="0018375D"/>
    <w:rsid w:val="00190CDC"/>
    <w:rsid w:val="00191CF0"/>
    <w:rsid w:val="001923B6"/>
    <w:rsid w:val="00194050"/>
    <w:rsid w:val="00196EE4"/>
    <w:rsid w:val="001A191B"/>
    <w:rsid w:val="001A22CF"/>
    <w:rsid w:val="001C2C28"/>
    <w:rsid w:val="001C35B3"/>
    <w:rsid w:val="001D0040"/>
    <w:rsid w:val="001D6A40"/>
    <w:rsid w:val="001E2D78"/>
    <w:rsid w:val="001E6440"/>
    <w:rsid w:val="001F762B"/>
    <w:rsid w:val="00204D38"/>
    <w:rsid w:val="00210CEF"/>
    <w:rsid w:val="00215C7F"/>
    <w:rsid w:val="00231D34"/>
    <w:rsid w:val="002371F6"/>
    <w:rsid w:val="00253EC2"/>
    <w:rsid w:val="002562DB"/>
    <w:rsid w:val="00261C5E"/>
    <w:rsid w:val="00263CE5"/>
    <w:rsid w:val="00271D1A"/>
    <w:rsid w:val="00273C8B"/>
    <w:rsid w:val="002752DC"/>
    <w:rsid w:val="00281045"/>
    <w:rsid w:val="0028320C"/>
    <w:rsid w:val="00290A18"/>
    <w:rsid w:val="002966AB"/>
    <w:rsid w:val="002A092E"/>
    <w:rsid w:val="002B24DF"/>
    <w:rsid w:val="002C2894"/>
    <w:rsid w:val="002C3D61"/>
    <w:rsid w:val="002C4DEB"/>
    <w:rsid w:val="002F1286"/>
    <w:rsid w:val="00300973"/>
    <w:rsid w:val="0030389E"/>
    <w:rsid w:val="003046DD"/>
    <w:rsid w:val="00306D4D"/>
    <w:rsid w:val="0031249E"/>
    <w:rsid w:val="00327F9F"/>
    <w:rsid w:val="00331EF6"/>
    <w:rsid w:val="003426D7"/>
    <w:rsid w:val="00371670"/>
    <w:rsid w:val="00384BFD"/>
    <w:rsid w:val="003A5551"/>
    <w:rsid w:val="003A617B"/>
    <w:rsid w:val="003B19BC"/>
    <w:rsid w:val="003B265B"/>
    <w:rsid w:val="003B3674"/>
    <w:rsid w:val="003B3993"/>
    <w:rsid w:val="003B4896"/>
    <w:rsid w:val="003C5F42"/>
    <w:rsid w:val="003C695F"/>
    <w:rsid w:val="003D4E74"/>
    <w:rsid w:val="003D6770"/>
    <w:rsid w:val="003E0112"/>
    <w:rsid w:val="003E6367"/>
    <w:rsid w:val="003F5934"/>
    <w:rsid w:val="003F5AA2"/>
    <w:rsid w:val="004008AB"/>
    <w:rsid w:val="00407B21"/>
    <w:rsid w:val="00410AD6"/>
    <w:rsid w:val="00411980"/>
    <w:rsid w:val="00415526"/>
    <w:rsid w:val="00421829"/>
    <w:rsid w:val="00432D06"/>
    <w:rsid w:val="00454B8D"/>
    <w:rsid w:val="00466615"/>
    <w:rsid w:val="004962EB"/>
    <w:rsid w:val="00496632"/>
    <w:rsid w:val="004A4916"/>
    <w:rsid w:val="004B183A"/>
    <w:rsid w:val="004B636E"/>
    <w:rsid w:val="004C3F5F"/>
    <w:rsid w:val="004C3F83"/>
    <w:rsid w:val="004E086B"/>
    <w:rsid w:val="004F5937"/>
    <w:rsid w:val="00504962"/>
    <w:rsid w:val="005103B2"/>
    <w:rsid w:val="005111BD"/>
    <w:rsid w:val="005143DD"/>
    <w:rsid w:val="00514DAC"/>
    <w:rsid w:val="0052583A"/>
    <w:rsid w:val="00526171"/>
    <w:rsid w:val="00533FEC"/>
    <w:rsid w:val="005356E1"/>
    <w:rsid w:val="00536A1D"/>
    <w:rsid w:val="00555A76"/>
    <w:rsid w:val="00564248"/>
    <w:rsid w:val="00567656"/>
    <w:rsid w:val="005778AF"/>
    <w:rsid w:val="00582A2B"/>
    <w:rsid w:val="00594E1D"/>
    <w:rsid w:val="005A3C35"/>
    <w:rsid w:val="005A49F3"/>
    <w:rsid w:val="005A5A0F"/>
    <w:rsid w:val="005B1746"/>
    <w:rsid w:val="005C257F"/>
    <w:rsid w:val="005D16E3"/>
    <w:rsid w:val="005D64C2"/>
    <w:rsid w:val="005F1C6A"/>
    <w:rsid w:val="005F3AF8"/>
    <w:rsid w:val="005F68FC"/>
    <w:rsid w:val="00602850"/>
    <w:rsid w:val="0060293D"/>
    <w:rsid w:val="00605AF1"/>
    <w:rsid w:val="00606783"/>
    <w:rsid w:val="006101F3"/>
    <w:rsid w:val="00612C4A"/>
    <w:rsid w:val="006155B2"/>
    <w:rsid w:val="006158E9"/>
    <w:rsid w:val="006230FE"/>
    <w:rsid w:val="006235F3"/>
    <w:rsid w:val="00626E6F"/>
    <w:rsid w:val="00632AEE"/>
    <w:rsid w:val="00635F5D"/>
    <w:rsid w:val="00645153"/>
    <w:rsid w:val="006457EF"/>
    <w:rsid w:val="006471F2"/>
    <w:rsid w:val="006502B7"/>
    <w:rsid w:val="006564B7"/>
    <w:rsid w:val="006646AA"/>
    <w:rsid w:val="00666651"/>
    <w:rsid w:val="00667A4A"/>
    <w:rsid w:val="00680C43"/>
    <w:rsid w:val="00683311"/>
    <w:rsid w:val="006965AC"/>
    <w:rsid w:val="006A1488"/>
    <w:rsid w:val="006A62D0"/>
    <w:rsid w:val="006A6B48"/>
    <w:rsid w:val="006B0F3B"/>
    <w:rsid w:val="006B3893"/>
    <w:rsid w:val="006B5F2D"/>
    <w:rsid w:val="006C1823"/>
    <w:rsid w:val="006D0E7C"/>
    <w:rsid w:val="006D6884"/>
    <w:rsid w:val="006E12F1"/>
    <w:rsid w:val="006F4700"/>
    <w:rsid w:val="006F49B0"/>
    <w:rsid w:val="00715C47"/>
    <w:rsid w:val="007338EA"/>
    <w:rsid w:val="00734A27"/>
    <w:rsid w:val="00746923"/>
    <w:rsid w:val="00751901"/>
    <w:rsid w:val="00757304"/>
    <w:rsid w:val="007576A0"/>
    <w:rsid w:val="0076724A"/>
    <w:rsid w:val="00771CCE"/>
    <w:rsid w:val="007818AC"/>
    <w:rsid w:val="00783C36"/>
    <w:rsid w:val="00784BA9"/>
    <w:rsid w:val="00795034"/>
    <w:rsid w:val="007969DB"/>
    <w:rsid w:val="007A1A3D"/>
    <w:rsid w:val="007A7A82"/>
    <w:rsid w:val="007B2283"/>
    <w:rsid w:val="007B22CE"/>
    <w:rsid w:val="007B6101"/>
    <w:rsid w:val="007C180D"/>
    <w:rsid w:val="007C5D6F"/>
    <w:rsid w:val="007C674C"/>
    <w:rsid w:val="007D4436"/>
    <w:rsid w:val="007D62DF"/>
    <w:rsid w:val="007D70DC"/>
    <w:rsid w:val="007D7EDE"/>
    <w:rsid w:val="007F04A6"/>
    <w:rsid w:val="007F5F0A"/>
    <w:rsid w:val="0082186C"/>
    <w:rsid w:val="00830C48"/>
    <w:rsid w:val="00837323"/>
    <w:rsid w:val="00847B7E"/>
    <w:rsid w:val="00864AE7"/>
    <w:rsid w:val="00865175"/>
    <w:rsid w:val="0086666F"/>
    <w:rsid w:val="00881454"/>
    <w:rsid w:val="00886EE9"/>
    <w:rsid w:val="00893BEF"/>
    <w:rsid w:val="008950A7"/>
    <w:rsid w:val="008A1338"/>
    <w:rsid w:val="008A741A"/>
    <w:rsid w:val="008A7BF6"/>
    <w:rsid w:val="008C476F"/>
    <w:rsid w:val="008D1DE5"/>
    <w:rsid w:val="008E0F2B"/>
    <w:rsid w:val="008E191E"/>
    <w:rsid w:val="008F3DC7"/>
    <w:rsid w:val="00903734"/>
    <w:rsid w:val="009054E4"/>
    <w:rsid w:val="00912396"/>
    <w:rsid w:val="009127C6"/>
    <w:rsid w:val="0092506B"/>
    <w:rsid w:val="00931AB2"/>
    <w:rsid w:val="009364B8"/>
    <w:rsid w:val="00936CAE"/>
    <w:rsid w:val="00947C2C"/>
    <w:rsid w:val="00954B23"/>
    <w:rsid w:val="00965DE9"/>
    <w:rsid w:val="00986A8D"/>
    <w:rsid w:val="00987548"/>
    <w:rsid w:val="009A0080"/>
    <w:rsid w:val="009A038D"/>
    <w:rsid w:val="009B3A3F"/>
    <w:rsid w:val="009C1E6F"/>
    <w:rsid w:val="009C6835"/>
    <w:rsid w:val="009D19A2"/>
    <w:rsid w:val="009D1D62"/>
    <w:rsid w:val="009D3493"/>
    <w:rsid w:val="009D49D3"/>
    <w:rsid w:val="009D7124"/>
    <w:rsid w:val="009E0CC5"/>
    <w:rsid w:val="00A14836"/>
    <w:rsid w:val="00A14991"/>
    <w:rsid w:val="00A15EC4"/>
    <w:rsid w:val="00A202CD"/>
    <w:rsid w:val="00A213AF"/>
    <w:rsid w:val="00A215D2"/>
    <w:rsid w:val="00A22A97"/>
    <w:rsid w:val="00A22C6E"/>
    <w:rsid w:val="00A22DFD"/>
    <w:rsid w:val="00A37B10"/>
    <w:rsid w:val="00A42776"/>
    <w:rsid w:val="00A475B0"/>
    <w:rsid w:val="00A50C4C"/>
    <w:rsid w:val="00A549E5"/>
    <w:rsid w:val="00A54C89"/>
    <w:rsid w:val="00A54C94"/>
    <w:rsid w:val="00A561F3"/>
    <w:rsid w:val="00A6133F"/>
    <w:rsid w:val="00A67EDF"/>
    <w:rsid w:val="00A860C8"/>
    <w:rsid w:val="00A9776D"/>
    <w:rsid w:val="00AA2986"/>
    <w:rsid w:val="00AA5765"/>
    <w:rsid w:val="00AA775C"/>
    <w:rsid w:val="00AA7A76"/>
    <w:rsid w:val="00AA7AE7"/>
    <w:rsid w:val="00AB49DD"/>
    <w:rsid w:val="00AB56DC"/>
    <w:rsid w:val="00AB69C2"/>
    <w:rsid w:val="00AC0283"/>
    <w:rsid w:val="00AC3660"/>
    <w:rsid w:val="00AC5C61"/>
    <w:rsid w:val="00AC6A16"/>
    <w:rsid w:val="00AD3C4C"/>
    <w:rsid w:val="00AE01B9"/>
    <w:rsid w:val="00AE768A"/>
    <w:rsid w:val="00AF564E"/>
    <w:rsid w:val="00AF7E98"/>
    <w:rsid w:val="00B00B10"/>
    <w:rsid w:val="00B0408A"/>
    <w:rsid w:val="00B04186"/>
    <w:rsid w:val="00B20687"/>
    <w:rsid w:val="00B26CFA"/>
    <w:rsid w:val="00B27054"/>
    <w:rsid w:val="00B30AC3"/>
    <w:rsid w:val="00B376B1"/>
    <w:rsid w:val="00B43C44"/>
    <w:rsid w:val="00B43E18"/>
    <w:rsid w:val="00B45D11"/>
    <w:rsid w:val="00B50AC1"/>
    <w:rsid w:val="00B54CA1"/>
    <w:rsid w:val="00B67E84"/>
    <w:rsid w:val="00B84070"/>
    <w:rsid w:val="00B873CA"/>
    <w:rsid w:val="00B93487"/>
    <w:rsid w:val="00BA207A"/>
    <w:rsid w:val="00BA37FE"/>
    <w:rsid w:val="00BB0046"/>
    <w:rsid w:val="00BB3FE7"/>
    <w:rsid w:val="00BB7095"/>
    <w:rsid w:val="00BC2E65"/>
    <w:rsid w:val="00BD3023"/>
    <w:rsid w:val="00BD389D"/>
    <w:rsid w:val="00BE36E2"/>
    <w:rsid w:val="00BE7BC6"/>
    <w:rsid w:val="00C032B2"/>
    <w:rsid w:val="00C10797"/>
    <w:rsid w:val="00C12765"/>
    <w:rsid w:val="00C14D45"/>
    <w:rsid w:val="00C23428"/>
    <w:rsid w:val="00C30A6B"/>
    <w:rsid w:val="00C35D75"/>
    <w:rsid w:val="00C51AF5"/>
    <w:rsid w:val="00C57E20"/>
    <w:rsid w:val="00C628FE"/>
    <w:rsid w:val="00C63736"/>
    <w:rsid w:val="00C6386A"/>
    <w:rsid w:val="00C82605"/>
    <w:rsid w:val="00C84789"/>
    <w:rsid w:val="00C95F00"/>
    <w:rsid w:val="00CA7192"/>
    <w:rsid w:val="00CC26EE"/>
    <w:rsid w:val="00CC296F"/>
    <w:rsid w:val="00CC3E24"/>
    <w:rsid w:val="00CD4CF5"/>
    <w:rsid w:val="00CE39A1"/>
    <w:rsid w:val="00CE6836"/>
    <w:rsid w:val="00CF0C1C"/>
    <w:rsid w:val="00D01550"/>
    <w:rsid w:val="00D04371"/>
    <w:rsid w:val="00D13AC2"/>
    <w:rsid w:val="00D1489D"/>
    <w:rsid w:val="00D177D2"/>
    <w:rsid w:val="00D22C83"/>
    <w:rsid w:val="00D27DAD"/>
    <w:rsid w:val="00D35C26"/>
    <w:rsid w:val="00D46955"/>
    <w:rsid w:val="00D530BC"/>
    <w:rsid w:val="00D57872"/>
    <w:rsid w:val="00D71575"/>
    <w:rsid w:val="00D7225D"/>
    <w:rsid w:val="00D83392"/>
    <w:rsid w:val="00D85354"/>
    <w:rsid w:val="00D920B3"/>
    <w:rsid w:val="00DA5B34"/>
    <w:rsid w:val="00DC08C4"/>
    <w:rsid w:val="00DC601C"/>
    <w:rsid w:val="00DE653B"/>
    <w:rsid w:val="00DF3C72"/>
    <w:rsid w:val="00E06D88"/>
    <w:rsid w:val="00E12AE6"/>
    <w:rsid w:val="00E15D1F"/>
    <w:rsid w:val="00E17521"/>
    <w:rsid w:val="00E20307"/>
    <w:rsid w:val="00E21D66"/>
    <w:rsid w:val="00E31385"/>
    <w:rsid w:val="00E42F4F"/>
    <w:rsid w:val="00E62BF6"/>
    <w:rsid w:val="00E7333B"/>
    <w:rsid w:val="00E756F2"/>
    <w:rsid w:val="00E7632F"/>
    <w:rsid w:val="00E952FD"/>
    <w:rsid w:val="00E96105"/>
    <w:rsid w:val="00E9653A"/>
    <w:rsid w:val="00E97EB8"/>
    <w:rsid w:val="00E97FE3"/>
    <w:rsid w:val="00EA049A"/>
    <w:rsid w:val="00EA1465"/>
    <w:rsid w:val="00EB54CF"/>
    <w:rsid w:val="00EB5592"/>
    <w:rsid w:val="00ED7111"/>
    <w:rsid w:val="00EE2130"/>
    <w:rsid w:val="00EF0A51"/>
    <w:rsid w:val="00EF3B66"/>
    <w:rsid w:val="00F008F6"/>
    <w:rsid w:val="00F066C8"/>
    <w:rsid w:val="00F23C36"/>
    <w:rsid w:val="00F25E76"/>
    <w:rsid w:val="00F27A71"/>
    <w:rsid w:val="00F319C0"/>
    <w:rsid w:val="00F326CE"/>
    <w:rsid w:val="00F42F07"/>
    <w:rsid w:val="00F43568"/>
    <w:rsid w:val="00F449F3"/>
    <w:rsid w:val="00F47295"/>
    <w:rsid w:val="00F47C19"/>
    <w:rsid w:val="00F52AEB"/>
    <w:rsid w:val="00F57D1B"/>
    <w:rsid w:val="00F72E7D"/>
    <w:rsid w:val="00F81D19"/>
    <w:rsid w:val="00F824ED"/>
    <w:rsid w:val="00F91BA5"/>
    <w:rsid w:val="00FA2771"/>
    <w:rsid w:val="00FA408B"/>
    <w:rsid w:val="00FB13BE"/>
    <w:rsid w:val="00FB7006"/>
    <w:rsid w:val="00FD4C76"/>
    <w:rsid w:val="00FE1D06"/>
    <w:rsid w:val="00FE3C51"/>
    <w:rsid w:val="00FE560C"/>
    <w:rsid w:val="00FE7E7A"/>
    <w:rsid w:val="00FF09B5"/>
    <w:rsid w:val="00FF777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4932"/>
    <o:shapelayout v:ext="edit">
      <o:idmap v:ext="edit" data="1"/>
    </o:shapelayout>
  </w:shapeDefaults>
  <w:decimalSymbol w:val=","/>
  <w:listSeparator w:val=";"/>
  <w14:docId w14:val="1775AE2B"/>
  <w14:defaultImageDpi w14:val="300"/>
  <w15:docId w15:val="{D66614DC-B5C2-40AE-9AC2-28221660F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0">
    <w:name w:val="Normal"/>
    <w:qFormat/>
    <w:rsid w:val="009D19A2"/>
    <w:pPr>
      <w:tabs>
        <w:tab w:val="left" w:pos="9266"/>
      </w:tabs>
      <w:spacing w:line="270" w:lineRule="exact"/>
      <w:ind w:left="992" w:right="1310"/>
    </w:pPr>
    <w:rPr>
      <w:color w:val="002B41" w:themeColor="accent1"/>
      <w:sz w:val="22"/>
      <w:szCs w:val="22"/>
    </w:rPr>
  </w:style>
  <w:style w:type="paragraph" w:styleId="Titre1">
    <w:name w:val="heading 1"/>
    <w:basedOn w:val="Normal0"/>
    <w:next w:val="Normal0"/>
    <w:link w:val="Titre1Car"/>
    <w:qFormat/>
    <w:rsid w:val="009B3A3F"/>
    <w:pPr>
      <w:spacing w:before="440" w:line="400" w:lineRule="exact"/>
      <w:contextualSpacing/>
      <w:outlineLvl w:val="0"/>
    </w:pPr>
    <w:rPr>
      <w:b/>
      <w:sz w:val="34"/>
      <w:szCs w:val="34"/>
    </w:rPr>
  </w:style>
  <w:style w:type="paragraph" w:styleId="Titre2">
    <w:name w:val="heading 2"/>
    <w:basedOn w:val="Titre1"/>
    <w:next w:val="Normal0"/>
    <w:link w:val="Titre2Car"/>
    <w:unhideWhenUsed/>
    <w:qFormat/>
    <w:rsid w:val="00102113"/>
    <w:pPr>
      <w:spacing w:before="200" w:after="240"/>
      <w:outlineLvl w:val="1"/>
    </w:pPr>
    <w:rPr>
      <w:b w:val="0"/>
      <w:color w:val="E6A500" w:themeColor="accent2"/>
    </w:rPr>
  </w:style>
  <w:style w:type="paragraph" w:styleId="Titre3">
    <w:name w:val="heading 3"/>
    <w:basedOn w:val="Paragraphedeliste"/>
    <w:next w:val="Normal0"/>
    <w:link w:val="Titre3Car"/>
    <w:unhideWhenUsed/>
    <w:qFormat/>
    <w:rsid w:val="009D19A2"/>
    <w:pPr>
      <w:numPr>
        <w:numId w:val="1"/>
      </w:numPr>
      <w:spacing w:before="320" w:line="280" w:lineRule="exact"/>
      <w:ind w:left="1134" w:hanging="153"/>
      <w:outlineLvl w:val="2"/>
    </w:pPr>
    <w:rPr>
      <w:b/>
      <w:color w:val="E6A500" w:themeColor="accent2"/>
      <w:sz w:val="24"/>
      <w:szCs w:val="24"/>
    </w:rPr>
  </w:style>
  <w:style w:type="paragraph" w:styleId="Titre4">
    <w:name w:val="heading 4"/>
    <w:basedOn w:val="Titre1"/>
    <w:next w:val="Normal0"/>
    <w:link w:val="Titre4Car"/>
    <w:uiPriority w:val="9"/>
    <w:unhideWhenUsed/>
    <w:qFormat/>
    <w:rsid w:val="00AB69C2"/>
    <w:pPr>
      <w:spacing w:after="200" w:line="320" w:lineRule="exact"/>
      <w:outlineLvl w:val="3"/>
    </w:pPr>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0"/>
    <w:link w:val="En-tteCar"/>
    <w:uiPriority w:val="99"/>
    <w:unhideWhenUsed/>
    <w:rsid w:val="003B265B"/>
    <w:pPr>
      <w:tabs>
        <w:tab w:val="center" w:pos="4536"/>
        <w:tab w:val="right" w:pos="9072"/>
      </w:tabs>
    </w:pPr>
  </w:style>
  <w:style w:type="character" w:customStyle="1" w:styleId="En-tteCar">
    <w:name w:val="En-tête Car"/>
    <w:basedOn w:val="Policepardfaut"/>
    <w:link w:val="En-tte"/>
    <w:uiPriority w:val="99"/>
    <w:rsid w:val="003B265B"/>
  </w:style>
  <w:style w:type="paragraph" w:styleId="Pieddepage">
    <w:name w:val="footer"/>
    <w:basedOn w:val="Normal0"/>
    <w:link w:val="PieddepageCar"/>
    <w:uiPriority w:val="99"/>
    <w:unhideWhenUsed/>
    <w:rsid w:val="004C3F83"/>
    <w:pPr>
      <w:tabs>
        <w:tab w:val="center" w:pos="4536"/>
        <w:tab w:val="right" w:pos="9072"/>
      </w:tabs>
      <w:ind w:left="0" w:right="-6"/>
    </w:pPr>
    <w:rPr>
      <w:sz w:val="12"/>
      <w:szCs w:val="12"/>
    </w:rPr>
  </w:style>
  <w:style w:type="character" w:customStyle="1" w:styleId="PieddepageCar">
    <w:name w:val="Pied de page Car"/>
    <w:basedOn w:val="Policepardfaut"/>
    <w:link w:val="Pieddepage"/>
    <w:uiPriority w:val="99"/>
    <w:rsid w:val="004C3F83"/>
    <w:rPr>
      <w:color w:val="002B41" w:themeColor="accent1"/>
      <w:sz w:val="12"/>
      <w:szCs w:val="12"/>
    </w:rPr>
  </w:style>
  <w:style w:type="paragraph" w:styleId="Notedebasdepage">
    <w:name w:val="footnote text"/>
    <w:basedOn w:val="Normal0"/>
    <w:link w:val="NotedebasdepageCar"/>
    <w:unhideWhenUsed/>
    <w:rsid w:val="004C3F83"/>
    <w:pPr>
      <w:spacing w:line="240" w:lineRule="auto"/>
    </w:pPr>
    <w:rPr>
      <w:sz w:val="24"/>
      <w:szCs w:val="24"/>
    </w:rPr>
  </w:style>
  <w:style w:type="character" w:customStyle="1" w:styleId="NotedebasdepageCar">
    <w:name w:val="Note de bas de page Car"/>
    <w:basedOn w:val="Policepardfaut"/>
    <w:link w:val="Notedebasdepage"/>
    <w:rsid w:val="004C3F83"/>
  </w:style>
  <w:style w:type="character" w:styleId="Appelnotedebasdep">
    <w:name w:val="footnote reference"/>
    <w:basedOn w:val="Policepardfaut"/>
    <w:unhideWhenUsed/>
    <w:rsid w:val="004C3F83"/>
    <w:rPr>
      <w:vertAlign w:val="superscript"/>
    </w:rPr>
  </w:style>
  <w:style w:type="paragraph" w:customStyle="1" w:styleId="CP">
    <w:name w:val="CP"/>
    <w:qFormat/>
    <w:rsid w:val="009B3A3F"/>
    <w:pPr>
      <w:spacing w:before="2400" w:line="240" w:lineRule="exact"/>
      <w:contextualSpacing/>
    </w:pPr>
    <w:rPr>
      <w:b/>
      <w:color w:val="002B41" w:themeColor="accent1"/>
      <w:sz w:val="20"/>
      <w:szCs w:val="20"/>
    </w:rPr>
  </w:style>
  <w:style w:type="table" w:styleId="Grilledutableau">
    <w:name w:val="Table Grid"/>
    <w:basedOn w:val="TableauNormal"/>
    <w:rsid w:val="00931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2">
    <w:name w:val="CP2"/>
    <w:basedOn w:val="CP"/>
    <w:qFormat/>
    <w:rsid w:val="009B3A3F"/>
    <w:pPr>
      <w:spacing w:before="0"/>
    </w:pPr>
    <w:rPr>
      <w:sz w:val="17"/>
      <w:szCs w:val="17"/>
    </w:rPr>
  </w:style>
  <w:style w:type="character" w:customStyle="1" w:styleId="Titre1Car">
    <w:name w:val="Titre 1 Car"/>
    <w:basedOn w:val="Policepardfaut"/>
    <w:link w:val="Titre1"/>
    <w:uiPriority w:val="9"/>
    <w:rsid w:val="009B3A3F"/>
    <w:rPr>
      <w:b/>
      <w:color w:val="002B41" w:themeColor="accent1"/>
      <w:sz w:val="34"/>
      <w:szCs w:val="34"/>
    </w:rPr>
  </w:style>
  <w:style w:type="character" w:customStyle="1" w:styleId="Titre2Car">
    <w:name w:val="Titre 2 Car"/>
    <w:basedOn w:val="Policepardfaut"/>
    <w:link w:val="Titre2"/>
    <w:uiPriority w:val="9"/>
    <w:rsid w:val="00102113"/>
    <w:rPr>
      <w:color w:val="E6A500" w:themeColor="accent2"/>
      <w:sz w:val="34"/>
      <w:szCs w:val="34"/>
    </w:rPr>
  </w:style>
  <w:style w:type="paragraph" w:styleId="Paragraphedeliste">
    <w:name w:val="List Paragraph"/>
    <w:basedOn w:val="Normal0"/>
    <w:uiPriority w:val="34"/>
    <w:qFormat/>
    <w:rsid w:val="00102113"/>
    <w:pPr>
      <w:ind w:left="720"/>
      <w:contextualSpacing/>
    </w:pPr>
  </w:style>
  <w:style w:type="character" w:customStyle="1" w:styleId="Titre3Car">
    <w:name w:val="Titre 3 Car"/>
    <w:basedOn w:val="Policepardfaut"/>
    <w:link w:val="Titre3"/>
    <w:uiPriority w:val="9"/>
    <w:rsid w:val="009D19A2"/>
    <w:rPr>
      <w:b/>
      <w:color w:val="E6A500" w:themeColor="accent2"/>
    </w:rPr>
  </w:style>
  <w:style w:type="paragraph" w:customStyle="1" w:styleId="Chapo">
    <w:name w:val="Chapo"/>
    <w:basedOn w:val="Normal0"/>
    <w:qFormat/>
    <w:rsid w:val="009D19A2"/>
    <w:pPr>
      <w:spacing w:line="280" w:lineRule="exact"/>
    </w:pPr>
    <w:rPr>
      <w:b/>
    </w:rPr>
  </w:style>
  <w:style w:type="paragraph" w:customStyle="1" w:styleId="Normal">
    <w:name w:val="• Normal"/>
    <w:basedOn w:val="Normal0"/>
    <w:qFormat/>
    <w:rsid w:val="00A22A97"/>
    <w:pPr>
      <w:numPr>
        <w:numId w:val="7"/>
      </w:numPr>
      <w:ind w:left="1342" w:hanging="153"/>
    </w:pPr>
  </w:style>
  <w:style w:type="character" w:customStyle="1" w:styleId="Titre4Car">
    <w:name w:val="Titre 4 Car"/>
    <w:basedOn w:val="Policepardfaut"/>
    <w:link w:val="Titre4"/>
    <w:uiPriority w:val="9"/>
    <w:rsid w:val="00AB69C2"/>
    <w:rPr>
      <w:b/>
      <w:color w:val="002B41" w:themeColor="accent1"/>
      <w:sz w:val="28"/>
      <w:szCs w:val="28"/>
    </w:rPr>
  </w:style>
  <w:style w:type="paragraph" w:styleId="Titre">
    <w:name w:val="Title"/>
    <w:basedOn w:val="Normal0"/>
    <w:next w:val="Normal0"/>
    <w:link w:val="TitreCar"/>
    <w:uiPriority w:val="10"/>
    <w:qFormat/>
    <w:rsid w:val="00AB69C2"/>
    <w:pPr>
      <w:spacing w:after="120" w:line="280" w:lineRule="exact"/>
    </w:pPr>
    <w:rPr>
      <w:b/>
      <w:color w:val="8D8A55" w:themeColor="accent5"/>
      <w:sz w:val="24"/>
      <w:szCs w:val="24"/>
    </w:rPr>
  </w:style>
  <w:style w:type="character" w:customStyle="1" w:styleId="TitreCar">
    <w:name w:val="Titre Car"/>
    <w:basedOn w:val="Policepardfaut"/>
    <w:link w:val="Titre"/>
    <w:uiPriority w:val="10"/>
    <w:rsid w:val="00AB69C2"/>
    <w:rPr>
      <w:b/>
      <w:color w:val="8D8A55" w:themeColor="accent5"/>
    </w:rPr>
  </w:style>
  <w:style w:type="paragraph" w:customStyle="1" w:styleId="APropos">
    <w:name w:val="A Propos"/>
    <w:basedOn w:val="Normal0"/>
    <w:qFormat/>
    <w:rsid w:val="00AB69C2"/>
    <w:pPr>
      <w:spacing w:line="168" w:lineRule="exact"/>
      <w:jc w:val="both"/>
    </w:pPr>
    <w:rPr>
      <w:color w:val="4F657B"/>
      <w:sz w:val="14"/>
      <w:szCs w:val="14"/>
    </w:rPr>
  </w:style>
  <w:style w:type="paragraph" w:customStyle="1" w:styleId="T1">
    <w:name w:val="T1"/>
    <w:qFormat/>
    <w:rsid w:val="00931AB2"/>
    <w:rPr>
      <w:b/>
      <w:color w:val="002B41" w:themeColor="accent1"/>
      <w:sz w:val="14"/>
      <w:szCs w:val="14"/>
    </w:rPr>
  </w:style>
  <w:style w:type="paragraph" w:customStyle="1" w:styleId="T2">
    <w:name w:val="T2"/>
    <w:basedOn w:val="T1"/>
    <w:qFormat/>
    <w:rsid w:val="00931AB2"/>
    <w:rPr>
      <w:b w:val="0"/>
      <w:sz w:val="20"/>
      <w:szCs w:val="20"/>
    </w:rPr>
  </w:style>
  <w:style w:type="paragraph" w:customStyle="1" w:styleId="Contacts">
    <w:name w:val="Contacts"/>
    <w:basedOn w:val="Normal0"/>
    <w:qFormat/>
    <w:rsid w:val="00F81D19"/>
    <w:pPr>
      <w:spacing w:line="160" w:lineRule="exact"/>
      <w:ind w:left="0"/>
    </w:pPr>
    <w:rPr>
      <w:sz w:val="14"/>
      <w:szCs w:val="14"/>
    </w:rPr>
  </w:style>
  <w:style w:type="paragraph" w:customStyle="1" w:styleId="Normal2">
    <w:name w:val="• Normal 2"/>
    <w:qFormat/>
    <w:rsid w:val="00A22A97"/>
    <w:pPr>
      <w:numPr>
        <w:numId w:val="8"/>
      </w:numPr>
      <w:ind w:left="1843" w:hanging="152"/>
    </w:pPr>
    <w:rPr>
      <w:color w:val="002B41" w:themeColor="accent1"/>
      <w:sz w:val="22"/>
      <w:szCs w:val="22"/>
    </w:rPr>
  </w:style>
  <w:style w:type="paragraph" w:customStyle="1" w:styleId="Normal3">
    <w:name w:val="• Normal 3"/>
    <w:qFormat/>
    <w:rsid w:val="00A22A97"/>
    <w:pPr>
      <w:numPr>
        <w:ilvl w:val="1"/>
        <w:numId w:val="1"/>
      </w:numPr>
      <w:ind w:left="1985" w:hanging="305"/>
    </w:pPr>
    <w:rPr>
      <w:color w:val="002B41" w:themeColor="accent1"/>
      <w:sz w:val="22"/>
      <w:szCs w:val="22"/>
    </w:rPr>
  </w:style>
  <w:style w:type="paragraph" w:styleId="Textedebulles">
    <w:name w:val="Balloon Text"/>
    <w:basedOn w:val="Normal0"/>
    <w:link w:val="TextedebullesCar"/>
    <w:semiHidden/>
    <w:unhideWhenUsed/>
    <w:rsid w:val="00A561F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61F3"/>
    <w:rPr>
      <w:rFonts w:ascii="Segoe UI" w:hAnsi="Segoe UI" w:cs="Segoe UI"/>
      <w:color w:val="002B41" w:themeColor="accent1"/>
      <w:sz w:val="18"/>
      <w:szCs w:val="18"/>
    </w:rPr>
  </w:style>
  <w:style w:type="character" w:styleId="Lienhypertexte">
    <w:name w:val="Hyperlink"/>
    <w:basedOn w:val="Policepardfaut"/>
    <w:unhideWhenUsed/>
    <w:rsid w:val="00A561F3"/>
    <w:rPr>
      <w:color w:val="0000FF" w:themeColor="hyperlink"/>
      <w:u w:val="single"/>
    </w:rPr>
  </w:style>
  <w:style w:type="paragraph" w:customStyle="1" w:styleId="Default">
    <w:name w:val="Default"/>
    <w:rsid w:val="00432D06"/>
    <w:pPr>
      <w:widowControl w:val="0"/>
      <w:autoSpaceDE w:val="0"/>
      <w:autoSpaceDN w:val="0"/>
      <w:adjustRightInd w:val="0"/>
    </w:pPr>
    <w:rPr>
      <w:rFonts w:ascii="Trebuchet MS" w:hAnsi="Trebuchet MS" w:cs="Trebuchet MS"/>
      <w:color w:val="000000"/>
    </w:rPr>
  </w:style>
  <w:style w:type="character" w:styleId="Lienhypertextesuivivisit">
    <w:name w:val="FollowedHyperlink"/>
    <w:basedOn w:val="Policepardfaut"/>
    <w:uiPriority w:val="99"/>
    <w:semiHidden/>
    <w:unhideWhenUsed/>
    <w:rsid w:val="00594E1D"/>
    <w:rPr>
      <w:color w:val="800080" w:themeColor="followedHyperlink"/>
      <w:u w:val="single"/>
    </w:rPr>
  </w:style>
  <w:style w:type="paragraph" w:customStyle="1" w:styleId="Texteavecpuces">
    <w:name w:val="Texte avec puces"/>
    <w:basedOn w:val="Normal0"/>
    <w:rsid w:val="00F824ED"/>
    <w:pPr>
      <w:numPr>
        <w:numId w:val="10"/>
      </w:numPr>
      <w:tabs>
        <w:tab w:val="clear" w:pos="9266"/>
      </w:tabs>
      <w:spacing w:line="240" w:lineRule="exact"/>
      <w:ind w:right="0"/>
    </w:pPr>
    <w:rPr>
      <w:rFonts w:ascii="Arial" w:eastAsia="Times" w:hAnsi="Arial" w:cs="Times New Roman"/>
      <w:color w:val="auto"/>
      <w:sz w:val="18"/>
      <w:szCs w:val="20"/>
    </w:rPr>
  </w:style>
  <w:style w:type="paragraph" w:customStyle="1" w:styleId="Textebeige">
    <w:name w:val="Texte beige"/>
    <w:basedOn w:val="Normal0"/>
    <w:rsid w:val="00060904"/>
    <w:pPr>
      <w:tabs>
        <w:tab w:val="clear" w:pos="9266"/>
      </w:tabs>
      <w:spacing w:line="320" w:lineRule="exact"/>
      <w:ind w:left="0" w:right="0"/>
    </w:pPr>
    <w:rPr>
      <w:rFonts w:ascii="Arial" w:eastAsia="Times" w:hAnsi="Arial" w:cs="Times New Roman"/>
      <w:color w:val="C2AFA3"/>
      <w:sz w:val="24"/>
      <w:szCs w:val="20"/>
    </w:rPr>
  </w:style>
  <w:style w:type="paragraph" w:styleId="Corpsdetexte">
    <w:name w:val="Body Text"/>
    <w:basedOn w:val="Normal0"/>
    <w:link w:val="CorpsdetexteCar"/>
    <w:rsid w:val="00060904"/>
    <w:pPr>
      <w:tabs>
        <w:tab w:val="clear" w:pos="9266"/>
      </w:tabs>
      <w:spacing w:line="240" w:lineRule="auto"/>
      <w:ind w:left="0" w:right="0"/>
    </w:pPr>
    <w:rPr>
      <w:rFonts w:ascii="Times New Roman" w:eastAsia="Times New Roman" w:hAnsi="Times New Roman" w:cs="Times New Roman"/>
      <w:color w:val="auto"/>
      <w:szCs w:val="20"/>
    </w:rPr>
  </w:style>
  <w:style w:type="character" w:customStyle="1" w:styleId="CorpsdetexteCar">
    <w:name w:val="Corps de texte Car"/>
    <w:basedOn w:val="Policepardfaut"/>
    <w:link w:val="Corpsdetexte"/>
    <w:rsid w:val="00060904"/>
    <w:rPr>
      <w:rFonts w:ascii="Times New Roman" w:eastAsia="Times New Roman" w:hAnsi="Times New Roman" w:cs="Times New Roman"/>
      <w:sz w:val="22"/>
      <w:szCs w:val="20"/>
    </w:rPr>
  </w:style>
  <w:style w:type="paragraph" w:styleId="Corpsdetexte2">
    <w:name w:val="Body Text 2"/>
    <w:basedOn w:val="Normal0"/>
    <w:link w:val="Corpsdetexte2Car"/>
    <w:rsid w:val="00060904"/>
    <w:pPr>
      <w:tabs>
        <w:tab w:val="clear" w:pos="9266"/>
      </w:tabs>
      <w:spacing w:line="240" w:lineRule="auto"/>
      <w:ind w:left="0" w:right="1"/>
    </w:pPr>
    <w:rPr>
      <w:rFonts w:ascii="LucidaSans" w:eastAsia="Times New Roman" w:hAnsi="LucidaSans" w:cs="Times New Roman"/>
      <w:color w:val="auto"/>
      <w:szCs w:val="20"/>
    </w:rPr>
  </w:style>
  <w:style w:type="character" w:customStyle="1" w:styleId="Corpsdetexte2Car">
    <w:name w:val="Corps de texte 2 Car"/>
    <w:basedOn w:val="Policepardfaut"/>
    <w:link w:val="Corpsdetexte2"/>
    <w:rsid w:val="00060904"/>
    <w:rPr>
      <w:rFonts w:ascii="LucidaSans" w:eastAsia="Times New Roman" w:hAnsi="LucidaSans" w:cs="Times New Roman"/>
      <w:sz w:val="22"/>
      <w:szCs w:val="20"/>
    </w:rPr>
  </w:style>
  <w:style w:type="paragraph" w:customStyle="1" w:styleId="P">
    <w:name w:val="P"/>
    <w:basedOn w:val="Normal0"/>
    <w:rsid w:val="00060904"/>
    <w:pPr>
      <w:widowControl w:val="0"/>
      <w:tabs>
        <w:tab w:val="clear" w:pos="9266"/>
        <w:tab w:val="left" w:pos="507"/>
      </w:tabs>
      <w:suppressAutoHyphens/>
      <w:autoSpaceDE w:val="0"/>
      <w:autoSpaceDN w:val="0"/>
      <w:adjustRightInd w:val="0"/>
      <w:spacing w:after="113" w:line="230" w:lineRule="atLeast"/>
      <w:ind w:left="0" w:right="0"/>
      <w:jc w:val="both"/>
      <w:textAlignment w:val="center"/>
    </w:pPr>
    <w:rPr>
      <w:rFonts w:ascii="HelveticaNeueLTStd-Roman" w:eastAsia="Times New Roman" w:hAnsi="HelveticaNeueLTStd-Roman" w:cs="Times New Roman"/>
      <w:color w:val="000000"/>
      <w:sz w:val="16"/>
      <w:szCs w:val="20"/>
    </w:rPr>
  </w:style>
  <w:style w:type="character" w:styleId="Numrodepage">
    <w:name w:val="page number"/>
    <w:basedOn w:val="Policepardfaut"/>
    <w:rsid w:val="00060904"/>
  </w:style>
  <w:style w:type="character" w:styleId="Marquedecommentaire">
    <w:name w:val="annotation reference"/>
    <w:semiHidden/>
    <w:rsid w:val="00060904"/>
    <w:rPr>
      <w:sz w:val="16"/>
      <w:szCs w:val="16"/>
    </w:rPr>
  </w:style>
  <w:style w:type="paragraph" w:styleId="Commentaire">
    <w:name w:val="annotation text"/>
    <w:basedOn w:val="Normal0"/>
    <w:link w:val="CommentaireCar"/>
    <w:semiHidden/>
    <w:rsid w:val="00060904"/>
    <w:pPr>
      <w:tabs>
        <w:tab w:val="clear" w:pos="9266"/>
      </w:tabs>
      <w:spacing w:line="260" w:lineRule="atLeast"/>
      <w:ind w:left="0" w:right="0"/>
    </w:pPr>
    <w:rPr>
      <w:rFonts w:ascii="Arial" w:eastAsia="Times" w:hAnsi="Arial" w:cs="Times New Roman"/>
      <w:color w:val="auto"/>
      <w:sz w:val="20"/>
      <w:szCs w:val="20"/>
    </w:rPr>
  </w:style>
  <w:style w:type="character" w:customStyle="1" w:styleId="CommentaireCar">
    <w:name w:val="Commentaire Car"/>
    <w:basedOn w:val="Policepardfaut"/>
    <w:link w:val="Commentaire"/>
    <w:semiHidden/>
    <w:rsid w:val="00060904"/>
    <w:rPr>
      <w:rFonts w:ascii="Arial" w:eastAsia="Times" w:hAnsi="Arial" w:cs="Times New Roman"/>
      <w:sz w:val="20"/>
      <w:szCs w:val="20"/>
    </w:rPr>
  </w:style>
  <w:style w:type="paragraph" w:styleId="Objetducommentaire">
    <w:name w:val="annotation subject"/>
    <w:basedOn w:val="Commentaire"/>
    <w:next w:val="Commentaire"/>
    <w:link w:val="ObjetducommentaireCar"/>
    <w:semiHidden/>
    <w:rsid w:val="00060904"/>
    <w:rPr>
      <w:b/>
      <w:bCs/>
    </w:rPr>
  </w:style>
  <w:style w:type="character" w:customStyle="1" w:styleId="ObjetducommentaireCar">
    <w:name w:val="Objet du commentaire Car"/>
    <w:basedOn w:val="CommentaireCar"/>
    <w:link w:val="Objetducommentaire"/>
    <w:semiHidden/>
    <w:rsid w:val="00060904"/>
    <w:rPr>
      <w:rFonts w:ascii="Arial" w:eastAsia="Times" w:hAnsi="Arial" w:cs="Times New Roman"/>
      <w:b/>
      <w:bCs/>
      <w:sz w:val="20"/>
      <w:szCs w:val="20"/>
    </w:rPr>
  </w:style>
  <w:style w:type="paragraph" w:styleId="Explorateurdedocuments">
    <w:name w:val="Document Map"/>
    <w:basedOn w:val="Normal0"/>
    <w:link w:val="ExplorateurdedocumentsCar"/>
    <w:semiHidden/>
    <w:rsid w:val="00060904"/>
    <w:pPr>
      <w:shd w:val="clear" w:color="auto" w:fill="000080"/>
      <w:tabs>
        <w:tab w:val="clear" w:pos="9266"/>
      </w:tabs>
      <w:spacing w:line="260" w:lineRule="atLeast"/>
      <w:ind w:left="0" w:right="0"/>
    </w:pPr>
    <w:rPr>
      <w:rFonts w:ascii="Tahoma" w:eastAsia="Times" w:hAnsi="Tahoma" w:cs="Tahoma"/>
      <w:color w:val="auto"/>
      <w:sz w:val="20"/>
      <w:szCs w:val="20"/>
    </w:rPr>
  </w:style>
  <w:style w:type="character" w:customStyle="1" w:styleId="ExplorateurdedocumentsCar">
    <w:name w:val="Explorateur de documents Car"/>
    <w:basedOn w:val="Policepardfaut"/>
    <w:link w:val="Explorateurdedocuments"/>
    <w:semiHidden/>
    <w:rsid w:val="00060904"/>
    <w:rPr>
      <w:rFonts w:ascii="Tahoma" w:eastAsia="Times" w:hAnsi="Tahoma" w:cs="Tahoma"/>
      <w:sz w:val="20"/>
      <w:szCs w:val="20"/>
      <w:shd w:val="clear" w:color="auto" w:fill="000080"/>
    </w:rPr>
  </w:style>
  <w:style w:type="paragraph" w:customStyle="1" w:styleId="effacerlamiseenforme">
    <w:name w:val="effacer la mise en forme"/>
    <w:basedOn w:val="Normal0"/>
    <w:rsid w:val="00060904"/>
    <w:pPr>
      <w:tabs>
        <w:tab w:val="clear" w:pos="9266"/>
      </w:tabs>
      <w:spacing w:line="260" w:lineRule="atLeast"/>
      <w:ind w:left="0" w:right="1"/>
      <w:jc w:val="both"/>
      <w:outlineLvl w:val="0"/>
    </w:pPr>
    <w:rPr>
      <w:rFonts w:ascii="Arial" w:eastAsia="Times" w:hAnsi="Arial" w:cs="Arial"/>
      <w:b/>
      <w:bCs/>
      <w:i/>
      <w:iCs/>
      <w:snapToGrid w:val="0"/>
      <w:color w:val="auto"/>
      <w:sz w:val="20"/>
      <w:szCs w:val="20"/>
    </w:rPr>
  </w:style>
  <w:style w:type="paragraph" w:styleId="Rvision">
    <w:name w:val="Revision"/>
    <w:hidden/>
    <w:uiPriority w:val="99"/>
    <w:semiHidden/>
    <w:rsid w:val="00060904"/>
    <w:rPr>
      <w:rFonts w:ascii="Arial" w:eastAsia="Times" w:hAnsi="Arial" w:cs="Times New Roman"/>
      <w:sz w:val="18"/>
      <w:szCs w:val="20"/>
    </w:rPr>
  </w:style>
  <w:style w:type="paragraph" w:styleId="Notedefin">
    <w:name w:val="endnote text"/>
    <w:basedOn w:val="Normal0"/>
    <w:link w:val="NotedefinCar"/>
    <w:rsid w:val="00060904"/>
    <w:pPr>
      <w:tabs>
        <w:tab w:val="clear" w:pos="9266"/>
      </w:tabs>
      <w:spacing w:line="260" w:lineRule="atLeast"/>
      <w:ind w:left="0" w:right="0"/>
    </w:pPr>
    <w:rPr>
      <w:rFonts w:ascii="Arial" w:eastAsia="Times" w:hAnsi="Arial" w:cs="Times New Roman"/>
      <w:color w:val="auto"/>
      <w:sz w:val="20"/>
      <w:szCs w:val="20"/>
      <w:lang w:val="x-none" w:eastAsia="x-none"/>
    </w:rPr>
  </w:style>
  <w:style w:type="character" w:customStyle="1" w:styleId="NotedefinCar">
    <w:name w:val="Note de fin Car"/>
    <w:basedOn w:val="Policepardfaut"/>
    <w:link w:val="Notedefin"/>
    <w:rsid w:val="00060904"/>
    <w:rPr>
      <w:rFonts w:ascii="Arial" w:eastAsia="Times" w:hAnsi="Arial" w:cs="Times New Roman"/>
      <w:sz w:val="20"/>
      <w:szCs w:val="20"/>
      <w:lang w:val="x-none" w:eastAsia="x-none"/>
    </w:rPr>
  </w:style>
  <w:style w:type="character" w:styleId="Appeldenotedefin">
    <w:name w:val="endnote reference"/>
    <w:rsid w:val="00060904"/>
    <w:rPr>
      <w:vertAlign w:val="superscript"/>
    </w:rPr>
  </w:style>
  <w:style w:type="paragraph" w:styleId="Listepuces">
    <w:name w:val="List Bullet"/>
    <w:basedOn w:val="Normal0"/>
    <w:rsid w:val="00060904"/>
    <w:pPr>
      <w:numPr>
        <w:numId w:val="15"/>
      </w:numPr>
      <w:tabs>
        <w:tab w:val="clear" w:pos="9266"/>
      </w:tabs>
      <w:spacing w:line="260" w:lineRule="atLeast"/>
      <w:ind w:right="0"/>
      <w:contextualSpacing/>
    </w:pPr>
    <w:rPr>
      <w:rFonts w:ascii="Arial" w:eastAsia="Times" w:hAnsi="Arial" w:cs="Times New Roman"/>
      <w:color w:val="auto"/>
      <w:sz w:val="18"/>
      <w:szCs w:val="20"/>
    </w:rPr>
  </w:style>
  <w:style w:type="paragraph" w:styleId="NormalWeb">
    <w:name w:val="Normal (Web)"/>
    <w:basedOn w:val="Normal0"/>
    <w:uiPriority w:val="99"/>
    <w:semiHidden/>
    <w:unhideWhenUsed/>
    <w:rsid w:val="00EE2130"/>
    <w:pPr>
      <w:tabs>
        <w:tab w:val="clear" w:pos="9266"/>
      </w:tabs>
      <w:spacing w:before="100" w:beforeAutospacing="1" w:after="100" w:afterAutospacing="1" w:line="240" w:lineRule="auto"/>
      <w:ind w:left="0" w:right="0"/>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1356">
      <w:bodyDiv w:val="1"/>
      <w:marLeft w:val="0"/>
      <w:marRight w:val="0"/>
      <w:marTop w:val="0"/>
      <w:marBottom w:val="0"/>
      <w:divBdr>
        <w:top w:val="none" w:sz="0" w:space="0" w:color="auto"/>
        <w:left w:val="none" w:sz="0" w:space="0" w:color="auto"/>
        <w:bottom w:val="none" w:sz="0" w:space="0" w:color="auto"/>
        <w:right w:val="none" w:sz="0" w:space="0" w:color="auto"/>
      </w:divBdr>
    </w:div>
    <w:div w:id="54016861">
      <w:bodyDiv w:val="1"/>
      <w:marLeft w:val="0"/>
      <w:marRight w:val="0"/>
      <w:marTop w:val="0"/>
      <w:marBottom w:val="0"/>
      <w:divBdr>
        <w:top w:val="none" w:sz="0" w:space="0" w:color="auto"/>
        <w:left w:val="none" w:sz="0" w:space="0" w:color="auto"/>
        <w:bottom w:val="none" w:sz="0" w:space="0" w:color="auto"/>
        <w:right w:val="none" w:sz="0" w:space="0" w:color="auto"/>
      </w:divBdr>
    </w:div>
    <w:div w:id="428429527">
      <w:bodyDiv w:val="1"/>
      <w:marLeft w:val="0"/>
      <w:marRight w:val="0"/>
      <w:marTop w:val="0"/>
      <w:marBottom w:val="0"/>
      <w:divBdr>
        <w:top w:val="none" w:sz="0" w:space="0" w:color="auto"/>
        <w:left w:val="none" w:sz="0" w:space="0" w:color="auto"/>
        <w:bottom w:val="none" w:sz="0" w:space="0" w:color="auto"/>
        <w:right w:val="none" w:sz="0" w:space="0" w:color="auto"/>
      </w:divBdr>
    </w:div>
    <w:div w:id="467207364">
      <w:bodyDiv w:val="1"/>
      <w:marLeft w:val="0"/>
      <w:marRight w:val="0"/>
      <w:marTop w:val="0"/>
      <w:marBottom w:val="0"/>
      <w:divBdr>
        <w:top w:val="none" w:sz="0" w:space="0" w:color="auto"/>
        <w:left w:val="none" w:sz="0" w:space="0" w:color="auto"/>
        <w:bottom w:val="none" w:sz="0" w:space="0" w:color="auto"/>
        <w:right w:val="none" w:sz="0" w:space="0" w:color="auto"/>
      </w:divBdr>
    </w:div>
    <w:div w:id="594633219">
      <w:bodyDiv w:val="1"/>
      <w:marLeft w:val="0"/>
      <w:marRight w:val="0"/>
      <w:marTop w:val="0"/>
      <w:marBottom w:val="0"/>
      <w:divBdr>
        <w:top w:val="none" w:sz="0" w:space="0" w:color="auto"/>
        <w:left w:val="none" w:sz="0" w:space="0" w:color="auto"/>
        <w:bottom w:val="none" w:sz="0" w:space="0" w:color="auto"/>
        <w:right w:val="none" w:sz="0" w:space="0" w:color="auto"/>
      </w:divBdr>
      <w:divsChild>
        <w:div w:id="2053573387">
          <w:marLeft w:val="0"/>
          <w:marRight w:val="0"/>
          <w:marTop w:val="0"/>
          <w:marBottom w:val="0"/>
          <w:divBdr>
            <w:top w:val="none" w:sz="0" w:space="0" w:color="auto"/>
            <w:left w:val="none" w:sz="0" w:space="0" w:color="auto"/>
            <w:bottom w:val="none" w:sz="0" w:space="0" w:color="auto"/>
            <w:right w:val="none" w:sz="0" w:space="0" w:color="auto"/>
          </w:divBdr>
        </w:div>
      </w:divsChild>
    </w:div>
    <w:div w:id="1059747100">
      <w:bodyDiv w:val="1"/>
      <w:marLeft w:val="0"/>
      <w:marRight w:val="0"/>
      <w:marTop w:val="0"/>
      <w:marBottom w:val="0"/>
      <w:divBdr>
        <w:top w:val="none" w:sz="0" w:space="0" w:color="auto"/>
        <w:left w:val="none" w:sz="0" w:space="0" w:color="auto"/>
        <w:bottom w:val="none" w:sz="0" w:space="0" w:color="auto"/>
        <w:right w:val="none" w:sz="0" w:space="0" w:color="auto"/>
      </w:divBdr>
    </w:div>
    <w:div w:id="1252397979">
      <w:bodyDiv w:val="1"/>
      <w:marLeft w:val="0"/>
      <w:marRight w:val="0"/>
      <w:marTop w:val="0"/>
      <w:marBottom w:val="0"/>
      <w:divBdr>
        <w:top w:val="none" w:sz="0" w:space="0" w:color="auto"/>
        <w:left w:val="none" w:sz="0" w:space="0" w:color="auto"/>
        <w:bottom w:val="none" w:sz="0" w:space="0" w:color="auto"/>
        <w:right w:val="none" w:sz="0" w:space="0" w:color="auto"/>
      </w:divBdr>
      <w:divsChild>
        <w:div w:id="729764299">
          <w:marLeft w:val="158"/>
          <w:marRight w:val="0"/>
          <w:marTop w:val="0"/>
          <w:marBottom w:val="0"/>
          <w:divBdr>
            <w:top w:val="none" w:sz="0" w:space="0" w:color="auto"/>
            <w:left w:val="none" w:sz="0" w:space="0" w:color="auto"/>
            <w:bottom w:val="none" w:sz="0" w:space="0" w:color="auto"/>
            <w:right w:val="none" w:sz="0" w:space="0" w:color="auto"/>
          </w:divBdr>
        </w:div>
        <w:div w:id="281501176">
          <w:marLeft w:val="158"/>
          <w:marRight w:val="0"/>
          <w:marTop w:val="0"/>
          <w:marBottom w:val="0"/>
          <w:divBdr>
            <w:top w:val="none" w:sz="0" w:space="0" w:color="auto"/>
            <w:left w:val="none" w:sz="0" w:space="0" w:color="auto"/>
            <w:bottom w:val="none" w:sz="0" w:space="0" w:color="auto"/>
            <w:right w:val="none" w:sz="0" w:space="0" w:color="auto"/>
          </w:divBdr>
        </w:div>
        <w:div w:id="1328173267">
          <w:marLeft w:val="158"/>
          <w:marRight w:val="0"/>
          <w:marTop w:val="0"/>
          <w:marBottom w:val="0"/>
          <w:divBdr>
            <w:top w:val="none" w:sz="0" w:space="0" w:color="auto"/>
            <w:left w:val="none" w:sz="0" w:space="0" w:color="auto"/>
            <w:bottom w:val="none" w:sz="0" w:space="0" w:color="auto"/>
            <w:right w:val="none" w:sz="0" w:space="0" w:color="auto"/>
          </w:divBdr>
        </w:div>
        <w:div w:id="1901163900">
          <w:marLeft w:val="878"/>
          <w:marRight w:val="0"/>
          <w:marTop w:val="0"/>
          <w:marBottom w:val="0"/>
          <w:divBdr>
            <w:top w:val="none" w:sz="0" w:space="0" w:color="auto"/>
            <w:left w:val="none" w:sz="0" w:space="0" w:color="auto"/>
            <w:bottom w:val="none" w:sz="0" w:space="0" w:color="auto"/>
            <w:right w:val="none" w:sz="0" w:space="0" w:color="auto"/>
          </w:divBdr>
        </w:div>
        <w:div w:id="39592596">
          <w:marLeft w:val="878"/>
          <w:marRight w:val="0"/>
          <w:marTop w:val="0"/>
          <w:marBottom w:val="0"/>
          <w:divBdr>
            <w:top w:val="none" w:sz="0" w:space="0" w:color="auto"/>
            <w:left w:val="none" w:sz="0" w:space="0" w:color="auto"/>
            <w:bottom w:val="none" w:sz="0" w:space="0" w:color="auto"/>
            <w:right w:val="none" w:sz="0" w:space="0" w:color="auto"/>
          </w:divBdr>
        </w:div>
        <w:div w:id="936867897">
          <w:marLeft w:val="158"/>
          <w:marRight w:val="0"/>
          <w:marTop w:val="0"/>
          <w:marBottom w:val="0"/>
          <w:divBdr>
            <w:top w:val="none" w:sz="0" w:space="0" w:color="auto"/>
            <w:left w:val="none" w:sz="0" w:space="0" w:color="auto"/>
            <w:bottom w:val="none" w:sz="0" w:space="0" w:color="auto"/>
            <w:right w:val="none" w:sz="0" w:space="0" w:color="auto"/>
          </w:divBdr>
        </w:div>
      </w:divsChild>
    </w:div>
    <w:div w:id="1371760512">
      <w:bodyDiv w:val="1"/>
      <w:marLeft w:val="0"/>
      <w:marRight w:val="0"/>
      <w:marTop w:val="0"/>
      <w:marBottom w:val="0"/>
      <w:divBdr>
        <w:top w:val="none" w:sz="0" w:space="0" w:color="auto"/>
        <w:left w:val="none" w:sz="0" w:space="0" w:color="auto"/>
        <w:bottom w:val="none" w:sz="0" w:space="0" w:color="auto"/>
        <w:right w:val="none" w:sz="0" w:space="0" w:color="auto"/>
      </w:divBdr>
    </w:div>
    <w:div w:id="1467115929">
      <w:bodyDiv w:val="1"/>
      <w:marLeft w:val="0"/>
      <w:marRight w:val="0"/>
      <w:marTop w:val="0"/>
      <w:marBottom w:val="0"/>
      <w:divBdr>
        <w:top w:val="none" w:sz="0" w:space="0" w:color="auto"/>
        <w:left w:val="none" w:sz="0" w:space="0" w:color="auto"/>
        <w:bottom w:val="none" w:sz="0" w:space="0" w:color="auto"/>
        <w:right w:val="none" w:sz="0" w:space="0" w:color="auto"/>
      </w:divBdr>
    </w:div>
    <w:div w:id="1710645023">
      <w:bodyDiv w:val="1"/>
      <w:marLeft w:val="0"/>
      <w:marRight w:val="0"/>
      <w:marTop w:val="0"/>
      <w:marBottom w:val="0"/>
      <w:divBdr>
        <w:top w:val="none" w:sz="0" w:space="0" w:color="auto"/>
        <w:left w:val="none" w:sz="0" w:space="0" w:color="auto"/>
        <w:bottom w:val="none" w:sz="0" w:space="0" w:color="auto"/>
        <w:right w:val="none" w:sz="0" w:space="0" w:color="auto"/>
      </w:divBdr>
    </w:div>
    <w:div w:id="1753434524">
      <w:bodyDiv w:val="1"/>
      <w:marLeft w:val="0"/>
      <w:marRight w:val="0"/>
      <w:marTop w:val="0"/>
      <w:marBottom w:val="0"/>
      <w:divBdr>
        <w:top w:val="none" w:sz="0" w:space="0" w:color="auto"/>
        <w:left w:val="none" w:sz="0" w:space="0" w:color="auto"/>
        <w:bottom w:val="none" w:sz="0" w:space="0" w:color="auto"/>
        <w:right w:val="none" w:sz="0" w:space="0" w:color="auto"/>
      </w:divBdr>
    </w:div>
    <w:div w:id="1759911499">
      <w:bodyDiv w:val="1"/>
      <w:marLeft w:val="0"/>
      <w:marRight w:val="0"/>
      <w:marTop w:val="0"/>
      <w:marBottom w:val="0"/>
      <w:divBdr>
        <w:top w:val="none" w:sz="0" w:space="0" w:color="auto"/>
        <w:left w:val="none" w:sz="0" w:space="0" w:color="auto"/>
        <w:bottom w:val="none" w:sz="0" w:space="0" w:color="auto"/>
        <w:right w:val="none" w:sz="0" w:space="0" w:color="auto"/>
      </w:divBdr>
    </w:div>
    <w:div w:id="1831211870">
      <w:bodyDiv w:val="1"/>
      <w:marLeft w:val="0"/>
      <w:marRight w:val="0"/>
      <w:marTop w:val="0"/>
      <w:marBottom w:val="0"/>
      <w:divBdr>
        <w:top w:val="none" w:sz="0" w:space="0" w:color="auto"/>
        <w:left w:val="none" w:sz="0" w:space="0" w:color="auto"/>
        <w:bottom w:val="none" w:sz="0" w:space="0" w:color="auto"/>
        <w:right w:val="none" w:sz="0" w:space="0" w:color="auto"/>
      </w:divBdr>
    </w:div>
    <w:div w:id="20664836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carina.alfonsomartin@accor.com" TargetMode="External"/><Relationship Id="rId18" Type="http://schemas.openxmlformats.org/officeDocument/2006/relationships/image" Target="media/image3.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Feuille_de_calcul_Microsoft_Excel4.xlsx"/><Relationship Id="rId7" Type="http://schemas.openxmlformats.org/officeDocument/2006/relationships/endnotes" Target="endnotes.xml"/><Relationship Id="rId12" Type="http://schemas.openxmlformats.org/officeDocument/2006/relationships/hyperlink" Target="mailto:afmalrieu@image7.fr" TargetMode="External"/><Relationship Id="rId17" Type="http://schemas.openxmlformats.org/officeDocument/2006/relationships/hyperlink" Target="http://www.accorhotels.com" TargetMode="External"/><Relationship Id="rId25" Type="http://schemas.openxmlformats.org/officeDocument/2006/relationships/package" Target="embeddings/Feuille_de_calcul_Microsoft_Excel6.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rie.niel@accor.com" TargetMode="External"/><Relationship Id="rId20" Type="http://schemas.openxmlformats.org/officeDocument/2006/relationships/image" Target="media/image4.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Feuille_de_calcul_Microsoft_Excel2.xlsx"/><Relationship Id="rId24" Type="http://schemas.openxmlformats.org/officeDocument/2006/relationships/image" Target="media/image6.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ebastien.valentin@accor.com" TargetMode="External"/><Relationship Id="rId23" Type="http://schemas.openxmlformats.org/officeDocument/2006/relationships/package" Target="embeddings/Feuille_de_calcul_Microsoft_Excel5.xlsx"/><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Feuille_de_calcul_Microsoft_Excel3.xlsx"/><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package" Target="embeddings/Feuille_de_calcul_Microsoft_Excel1.xlsx"/><Relationship Id="rId14" Type="http://schemas.openxmlformats.org/officeDocument/2006/relationships/hyperlink" Target="mailto:marie-camille.aubagnac@accor.com" TargetMode="External"/><Relationship Id="rId22" Type="http://schemas.openxmlformats.org/officeDocument/2006/relationships/image" Target="media/image5.emf"/><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hème Office">
  <a:themeElements>
    <a:clrScheme name="Accor">
      <a:dk1>
        <a:sysClr val="windowText" lastClr="000000"/>
      </a:dk1>
      <a:lt1>
        <a:sysClr val="window" lastClr="FFFFFF"/>
      </a:lt1>
      <a:dk2>
        <a:srgbClr val="000000"/>
      </a:dk2>
      <a:lt2>
        <a:srgbClr val="FFFFFF"/>
      </a:lt2>
      <a:accent1>
        <a:srgbClr val="002B41"/>
      </a:accent1>
      <a:accent2>
        <a:srgbClr val="E6A500"/>
      </a:accent2>
      <a:accent3>
        <a:srgbClr val="B7C9C0"/>
      </a:accent3>
      <a:accent4>
        <a:srgbClr val="D04158"/>
      </a:accent4>
      <a:accent5>
        <a:srgbClr val="8D8A55"/>
      </a:accent5>
      <a:accent6>
        <a:srgbClr val="F4F4F4"/>
      </a:accent6>
      <a:hlink>
        <a:srgbClr val="0000FF"/>
      </a:hlink>
      <a:folHlink>
        <a:srgbClr val="800080"/>
      </a:folHlink>
    </a:clrScheme>
    <a:fontScheme name="Révolution">
      <a:majorFont>
        <a:latin typeface="Trebuchet MS"/>
        <a:ea typeface=""/>
        <a:cs typeface=""/>
        <a:font script="Jpan" typeface="ＭＳ ゴシック"/>
      </a:majorFont>
      <a:minorFont>
        <a:latin typeface="Trebuchet MS"/>
        <a:ea typeface=""/>
        <a:cs typeface=""/>
        <a:font script="Jpan" typeface="ＭＳ ゴシック"/>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1D7DA-7008-43CB-B9E2-0BC4FD24B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2371</Words>
  <Characters>13043</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ACCOR</Company>
  <LinksUpToDate>false</LinksUpToDate>
  <CharactersWithSpaces>15384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S</dc:creator>
  <cp:lastModifiedBy>AUBAGNAC Marie-Camille</cp:lastModifiedBy>
  <cp:revision>13</cp:revision>
  <cp:lastPrinted>2015-10-14T15:24:00Z</cp:lastPrinted>
  <dcterms:created xsi:type="dcterms:W3CDTF">2015-10-14T08:49:00Z</dcterms:created>
  <dcterms:modified xsi:type="dcterms:W3CDTF">2015-10-14T15:24:00Z</dcterms:modified>
</cp:coreProperties>
</file>